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приложение  1</w:t>
      </w:r>
    </w:p>
    <w:p>
      <w:pPr>
        <w:pStyle w:val="Normal"/>
        <w:spacing w:lineRule="auto" w:line="276"/>
        <w:jc w:val="center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Инвестиционный паспорт Коркинского муниципального района </w:t>
      </w:r>
    </w:p>
    <w:p>
      <w:pPr>
        <w:pStyle w:val="Normal"/>
        <w:spacing w:lineRule="auto" w:line="276"/>
        <w:jc w:val="center"/>
        <w:rPr>
          <w:rFonts w:ascii="PT Astra Serif" w:hAnsi="PT Astra Serif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</w:r>
    </w:p>
    <w:p>
      <w:pPr>
        <w:pStyle w:val="Normal"/>
        <w:spacing w:lineRule="auto" w:line="276"/>
        <w:jc w:val="center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ОБЩИЕ СВЕДЕНИЯ</w:t>
      </w:r>
    </w:p>
    <w:p>
      <w:pPr>
        <w:pStyle w:val="BodyTextIndent2"/>
        <w:spacing w:lineRule="auto" w:line="240" w:before="0" w:after="0"/>
        <w:ind w:firstLine="709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/>
          <w:sz w:val="26"/>
          <w:szCs w:val="26"/>
        </w:rPr>
        <w:t>Географическое положение. Природные ресурсы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. </w:t>
      </w:r>
    </w:p>
    <w:p>
      <w:pPr>
        <w:pStyle w:val="BodyTextIndent2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Коркинский муниципальный район находится в 35 км к югу от областного центра и граничит с территориями </w:t>
      </w:r>
      <w:hyperlink r:id="rId2" w:tgtFrame="Копейский городской округ">
        <w:r>
          <w:rPr>
            <w:rFonts w:ascii="PT Astra Serif" w:hAnsi="PT Astra Serif"/>
            <w:b w:val="false"/>
            <w:bCs w:val="false"/>
            <w:color w:val="000000" w:themeColor="text1"/>
            <w:sz w:val="26"/>
            <w:szCs w:val="26"/>
            <w:u w:val="none"/>
          </w:rPr>
          <w:t>Копейского городского округа</w:t>
        </w:r>
      </w:hyperlink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, </w:t>
      </w:r>
      <w:hyperlink r:id="rId3" w:tgtFrame="Еткульский район">
        <w:r>
          <w:rPr>
            <w:rFonts w:ascii="PT Astra Serif" w:hAnsi="PT Astra Serif"/>
            <w:b w:val="false"/>
            <w:bCs w:val="false"/>
            <w:color w:val="000000" w:themeColor="text1"/>
            <w:sz w:val="26"/>
            <w:szCs w:val="26"/>
            <w:u w:val="none"/>
          </w:rPr>
          <w:t>Еткульского</w:t>
        </w:r>
      </w:hyperlink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 и </w:t>
      </w:r>
      <w:hyperlink r:id="rId4" w:tgtFrame="Сосновский район (Челябинская область)">
        <w:r>
          <w:rPr>
            <w:rFonts w:ascii="PT Astra Serif" w:hAnsi="PT Astra Serif"/>
            <w:b w:val="false"/>
            <w:bCs w:val="false"/>
            <w:color w:val="000000" w:themeColor="text1"/>
            <w:sz w:val="26"/>
            <w:szCs w:val="26"/>
            <w:u w:val="none"/>
          </w:rPr>
          <w:t>Сосновского</w:t>
        </w:r>
      </w:hyperlink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 районов. Коркинский район расположен недалеко от автомагистрали </w:t>
      </w:r>
      <w:hyperlink r:id="rId5" w:tgtFrame="Челябинск">
        <w:r>
          <w:rPr>
            <w:rFonts w:ascii="PT Astra Serif" w:hAnsi="PT Astra Serif"/>
            <w:b w:val="false"/>
            <w:bCs w:val="false"/>
            <w:color w:val="000000" w:themeColor="text1"/>
            <w:sz w:val="26"/>
            <w:szCs w:val="26"/>
            <w:u w:val="none"/>
          </w:rPr>
          <w:t>Челябинск</w:t>
        </w:r>
      </w:hyperlink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>—</w:t>
      </w:r>
      <w:hyperlink r:id="rId6" w:tgtFrame="Магнитогорск">
        <w:r>
          <w:rPr>
            <w:rFonts w:ascii="PT Astra Serif" w:hAnsi="PT Astra Serif"/>
            <w:b w:val="false"/>
            <w:bCs w:val="false"/>
            <w:color w:val="000000" w:themeColor="text1"/>
            <w:sz w:val="26"/>
            <w:szCs w:val="26"/>
            <w:u w:val="none"/>
          </w:rPr>
          <w:t>Магнитогорск</w:t>
        </w:r>
      </w:hyperlink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, вблизи железной дороги </w:t>
      </w:r>
      <w:hyperlink r:id="rId7" w:tgtFrame="Челябинск">
        <w:r>
          <w:rPr>
            <w:rFonts w:ascii="PT Astra Serif" w:hAnsi="PT Astra Serif"/>
            <w:b w:val="false"/>
            <w:bCs w:val="false"/>
            <w:color w:val="000000" w:themeColor="text1"/>
            <w:sz w:val="26"/>
            <w:szCs w:val="26"/>
            <w:u w:val="none"/>
          </w:rPr>
          <w:t>Челябинск</w:t>
        </w:r>
      </w:hyperlink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>—</w:t>
      </w:r>
      <w:hyperlink r:id="rId8" w:tgtFrame="Троицк (Челябинская область)">
        <w:r>
          <w:rPr>
            <w:rFonts w:ascii="PT Astra Serif" w:hAnsi="PT Astra Serif"/>
            <w:b w:val="false"/>
            <w:bCs w:val="false"/>
            <w:color w:val="000000" w:themeColor="text1"/>
            <w:sz w:val="26"/>
            <w:szCs w:val="26"/>
            <w:u w:val="none"/>
          </w:rPr>
          <w:t>Троицк</w:t>
        </w:r>
      </w:hyperlink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>. Площадь территории 10 276,4 га. Из них площадь населенных пунктов  – 3 975,5 га, сельско-хозяйственных угодий – 2 065,5 га, земель промышленности – 1 999,5 га, лесов и водных объектов– 632,8 га, земель энергетики и транспорта 74,7 га, иного назначения – 1528,4га.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В состав Коркинского муниципального района входят три городских поселения: Коркинское, Первомайское и Розинское, в том числе 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семь населенных пунктов</w:t>
      </w:r>
      <w:r>
        <w:rPr>
          <w:rFonts w:ascii="PT Astra Serif" w:hAnsi="PT Astra Serif"/>
          <w:b w:val="false"/>
          <w:bCs w:val="false"/>
          <w:sz w:val="26"/>
          <w:szCs w:val="26"/>
        </w:rPr>
        <w:t>: г. Коркино, р.п. Роза, р.п. Первомайский, п. Саксан, д. Шумаки, п. Дубровка - Челябинская, д. Дубровка.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Территория района представляет собой всхолмленную равнину, полого понижающуюся в восточном направлении. Естественный рельеф нарушен комплексом горных работ – угольным разрезом «Коркинский» и его огромным хозяйством: породными терриконами, полями слива пульпы, гидромойками и др. На фоне общего равнинного характера рельеф характеризуется наличием мелкобугристо-котлованного микрорельефа. 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Гидрографическая сеть в районе представлена рекой Чумляк с левым притоком рекой Каменкой и ручьем Шеино, заболоченным озером Саксан и небольшим озером Сызги. На территории имеются многочисленные бессточные водоемы с соленой и горькосоленой водой.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Климат резко континентальный. Среднегодовая относительная влажность воздуха составляет 72%. Нормативная глубина промерзания почвы 1,9 м.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На территории района расположены Коркинский угленосный участок Челябинского буроугольного бассейна, Шеинское месторождение цементного сырья (известняк, глина), Тимофеевское месторождение кирпичных глин, Шеинское месторождение подземных вод. Данные месторождения находятся в разработке.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Застройка района частично размещается на борту разреза и у его отвалов.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Многоквартирными жилыми домами застроена центральная часть 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 xml:space="preserve">Коркинского 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и частично Розинского и Первомайского городских поселений. Здесь же расположены, в основном, все учреждения культурно-бытового обслуживания. Остальная застройка – усадебная, одноэтажная с земельными участками. Центральная часть Коркинского, часть Розинского и Первомайского городских поселений имеют регулярную планировку. </w:t>
      </w:r>
    </w:p>
    <w:p>
      <w:pPr>
        <w:pStyle w:val="Normal"/>
        <w:spacing w:lineRule="auto" w:line="240" w:before="120" w:after="12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Демография и трудовые ресурсы</w:t>
      </w:r>
    </w:p>
    <w:tbl>
      <w:tblPr>
        <w:tblW w:w="9750" w:type="dxa"/>
        <w:jc w:val="left"/>
        <w:tblInd w:w="96" w:type="dxa"/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741"/>
        <w:gridCol w:w="5399"/>
        <w:gridCol w:w="1170"/>
        <w:gridCol w:w="1303"/>
        <w:gridCol w:w="1137"/>
      </w:tblGrid>
      <w:tr>
        <w:trPr/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№</w:t>
            </w: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п/п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Показатель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2019г.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2020г.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2021г.</w:t>
            </w:r>
          </w:p>
        </w:tc>
      </w:tr>
      <w:tr>
        <w:trPr/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Среднегодовая численность населения, тыс. человек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58,8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58,3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 xml:space="preserve">57,6 </w:t>
            </w:r>
            <w:r>
              <w:rPr>
                <w:rFonts w:ascii="PT Astra Serif" w:hAnsi="PT Astra Serif"/>
                <w:b w:val="false"/>
                <w:bCs w:val="false"/>
                <w:sz w:val="21"/>
                <w:szCs w:val="21"/>
              </w:rPr>
              <w:t>(предв.)</w:t>
            </w:r>
          </w:p>
        </w:tc>
      </w:tr>
      <w:tr>
        <w:trPr/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Коэффициент рождаемости, на 1000 человек населения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10,0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9,8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 xml:space="preserve">9,1 </w:t>
            </w:r>
            <w:r>
              <w:rPr>
                <w:rFonts w:ascii="PT Astra Serif" w:hAnsi="PT Astra Serif"/>
                <w:b w:val="false"/>
                <w:bCs w:val="false"/>
                <w:sz w:val="21"/>
                <w:szCs w:val="21"/>
              </w:rPr>
              <w:t>(предв.)</w:t>
            </w:r>
          </w:p>
        </w:tc>
      </w:tr>
      <w:tr>
        <w:trPr/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Среднесписочная численность работающих (без внешних совместителей), человек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8 294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8 294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 xml:space="preserve">8 033 </w:t>
            </w:r>
            <w:r>
              <w:rPr>
                <w:rFonts w:ascii="PT Astra Serif" w:hAnsi="PT Astra Serif"/>
                <w:b w:val="false"/>
                <w:bCs w:val="false"/>
                <w:sz w:val="21"/>
                <w:szCs w:val="21"/>
              </w:rPr>
              <w:t>(январь-ноябрь)</w:t>
            </w:r>
          </w:p>
        </w:tc>
      </w:tr>
      <w:tr>
        <w:trPr/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Уровень безработицы, %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1,9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1B1B1B"/>
                <w:kern w:val="0"/>
                <w:sz w:val="26"/>
                <w:szCs w:val="26"/>
              </w:rPr>
              <w:t>3,4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1,48</w:t>
            </w:r>
          </w:p>
        </w:tc>
      </w:tr>
    </w:tbl>
    <w:p>
      <w:pPr>
        <w:pStyle w:val="BodyTextIndent2"/>
        <w:spacing w:lineRule="auto" w:line="240" w:before="0" w:after="0"/>
        <w:ind w:firstLine="709"/>
        <w:jc w:val="both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Численность постоянного населения Коркинского муниципального района на начало 2022 года – </w:t>
      </w:r>
      <w:r>
        <w:rPr>
          <w:rFonts w:ascii="PT Astra Serif" w:hAnsi="PT Astra Serif"/>
          <w:b w:val="false"/>
          <w:bCs w:val="false"/>
          <w:color w:val="1B1B1B"/>
          <w:sz w:val="26"/>
          <w:szCs w:val="26"/>
        </w:rPr>
        <w:t xml:space="preserve">57,3 </w:t>
      </w:r>
      <w:r>
        <w:rPr>
          <w:rFonts w:ascii="PT Astra Serif" w:hAnsi="PT Astra Serif"/>
          <w:b w:val="false"/>
          <w:bCs w:val="false"/>
          <w:sz w:val="26"/>
          <w:szCs w:val="26"/>
        </w:rPr>
        <w:t>тыс. человек: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ahoma" w:cs="Times New Roman" w:ascii="PT Astra Serif" w:hAnsi="PT Astra Serif"/>
          <w:b w:val="false"/>
          <w:bCs w:val="false"/>
          <w:color w:val="000000"/>
          <w:kern w:val="2"/>
          <w:sz w:val="26"/>
          <w:szCs w:val="26"/>
          <w:lang w:val="ru-RU" w:eastAsia="ru-RU" w:bidi="ar-SA"/>
        </w:rPr>
        <w:t>59,2%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 xml:space="preserve"> населения проживает в Коркинском городском поселении,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ahoma" w:cs="Times New Roman" w:ascii="PT Astra Serif" w:hAnsi="PT Astra Serif"/>
          <w:b w:val="false"/>
          <w:bCs w:val="false"/>
          <w:color w:val="000000"/>
          <w:kern w:val="2"/>
          <w:sz w:val="26"/>
          <w:szCs w:val="26"/>
          <w:lang w:val="ru-RU" w:eastAsia="ru-RU" w:bidi="ar-SA"/>
        </w:rPr>
        <w:t xml:space="preserve">19,2% 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- в Розинском городском поселении,</w:t>
      </w:r>
    </w:p>
    <w:p>
      <w:pPr>
        <w:pStyle w:val="BodyTextIndent2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21,6%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- в Первомайском городском поселении.</w:t>
      </w:r>
    </w:p>
    <w:p>
      <w:pPr>
        <w:pStyle w:val="BodyTextIndent2"/>
        <w:spacing w:lineRule="auto" w:line="240" w:before="0" w:after="0"/>
        <w:ind w:firstLine="709"/>
        <w:jc w:val="both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Численность населения моложе трудоспособного возраста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 – </w:t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21,</w:t>
      </w:r>
      <w:r>
        <w:rPr>
          <w:rFonts w:eastAsia="Tahoma" w:cs="Times New Roman" w:ascii="PT Astra Serif" w:hAnsi="PT Astra Serif"/>
          <w:b w:val="false"/>
          <w:bCs w:val="false"/>
          <w:color w:val="1B1B1B"/>
          <w:kern w:val="2"/>
          <w:sz w:val="26"/>
          <w:szCs w:val="26"/>
          <w:lang w:val="ru-RU" w:eastAsia="ru-RU" w:bidi="ar-SA"/>
        </w:rPr>
        <w:t>9</w:t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 xml:space="preserve">%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от общей численности постоянного населения.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Численность населения трудоспособного возраста - </w:t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52,0%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от общей численности постоянного населения.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Численность населения старше трудоспособного возраста – </w:t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26,1%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от общей численности постоянного населения.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Численность пенсионеров составляет 34,1% от всего населения района.</w:t>
      </w:r>
    </w:p>
    <w:p>
      <w:pPr>
        <w:pStyle w:val="Normal"/>
        <w:spacing w:lineRule="auto" w:line="240"/>
        <w:ind w:firstLine="709"/>
        <w:jc w:val="both"/>
        <w:rPr>
          <w:rFonts w:ascii="PT Astra Serif" w:hAnsi="PT Astra Serif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Уровень жизни населения</w:t>
      </w:r>
    </w:p>
    <w:tbl>
      <w:tblPr>
        <w:tblW w:w="9803" w:type="dxa"/>
        <w:jc w:val="left"/>
        <w:tblInd w:w="21" w:type="dxa"/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783"/>
        <w:gridCol w:w="4541"/>
        <w:gridCol w:w="1425"/>
        <w:gridCol w:w="1463"/>
        <w:gridCol w:w="1591"/>
      </w:tblGrid>
      <w:tr>
        <w:trPr/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 xml:space="preserve">№ </w:t>
            </w: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Показатель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2019г.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2020г.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 xml:space="preserve">2021г. </w:t>
            </w:r>
            <w:r>
              <w:rPr>
                <w:rFonts w:ascii="PT Astra Serif" w:hAnsi="PT Astra Serif"/>
                <w:b w:val="false"/>
                <w:bCs w:val="false"/>
                <w:sz w:val="21"/>
                <w:szCs w:val="21"/>
              </w:rPr>
              <w:t>(январь-ноябрь)</w:t>
            </w:r>
          </w:p>
        </w:tc>
      </w:tr>
      <w:tr>
        <w:trPr/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Среднемесячная заработная плата (по крупным и средним предприятиям), рублей,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 xml:space="preserve">в том числе 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-добыча полезных ископаемых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-обрабатывающие производства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 xml:space="preserve">- производство и распределение электроэнергии, газа </w:t>
            </w:r>
          </w:p>
          <w:p>
            <w:pPr>
              <w:pStyle w:val="Ltable"/>
              <w:spacing w:lineRule="auto" w:line="240" w:before="2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-водоснабжение, водоотведение,</w:t>
            </w:r>
          </w:p>
          <w:p>
            <w:pPr>
              <w:pStyle w:val="Ltable"/>
              <w:spacing w:lineRule="auto" w:line="240" w:before="2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 xml:space="preserve"> </w:t>
            </w: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 xml:space="preserve">организация сбора и утилизации </w:t>
            </w:r>
          </w:p>
          <w:p>
            <w:pPr>
              <w:pStyle w:val="Ltable"/>
              <w:spacing w:lineRule="auto" w:line="240" w:before="2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отходов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31 910,1</w:t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45 909,2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42 235,8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26 037,9</w:t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25 161,6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35 863,9</w:t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1B1B1B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1B1B1B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1B1B1B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47 508,7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54 262,3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28 357,2</w:t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1B1B1B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color w:val="1B1B1B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24 746,3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35 871,8</w:t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*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49547,9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*</w:t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26776,1</w:t>
            </w:r>
          </w:p>
        </w:tc>
      </w:tr>
      <w:tr>
        <w:trPr/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Среднемесячная заработная плата (в процентах к среднеобластному уровню)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77,6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82,4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77,8</w:t>
            </w:r>
          </w:p>
        </w:tc>
      </w:tr>
      <w:tr>
        <w:trPr>
          <w:trHeight w:val="1365" w:hRule="atLeast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 xml:space="preserve">Общая площадь жилых помещений, приходящаяся в среднем на одного жителя 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(кв. м на конец года)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27,7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28,2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28,5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18"/>
                <w:szCs w:val="18"/>
              </w:rPr>
              <w:t>предв.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*- </w:t>
      </w:r>
      <w:r>
        <w:rPr>
          <w:rFonts w:cs="Times New Roman" w:ascii="PT Astra Serif" w:hAnsi="PT Astra Serif"/>
          <w:b w:val="false"/>
          <w:bCs w:val="false"/>
          <w:sz w:val="18"/>
          <w:szCs w:val="18"/>
        </w:rPr>
        <w:t>данные не предоставлены органами Челябинскстата в целях обеспечения конфиденциальности первичных статистических данных.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spacing w:lineRule="auto" w:line="24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Благоустройство жилищного фонда 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на 01.01.2021</w:t>
      </w:r>
    </w:p>
    <w:p>
      <w:pPr>
        <w:pStyle w:val="Normal"/>
        <w:spacing w:lineRule="auto" w:line="24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общая площадь, оборудованная центральным водоснабжением </w:t>
        <w:tab/>
        <w:tab/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66,4%</w:t>
      </w:r>
    </w:p>
    <w:p>
      <w:pPr>
        <w:pStyle w:val="Normal"/>
        <w:spacing w:lineRule="auto" w:line="24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общая площадь, оборудованная центральным водоотведением</w:t>
        <w:tab/>
        <w:tab/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62,6%</w:t>
      </w:r>
    </w:p>
    <w:p>
      <w:pPr>
        <w:pStyle w:val="Normal"/>
        <w:spacing w:lineRule="auto" w:line="24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общая площадь, оборудованная центральным теплоснабжением</w:t>
        <w:tab/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66,6%</w:t>
      </w:r>
    </w:p>
    <w:p>
      <w:pPr>
        <w:pStyle w:val="Normal"/>
        <w:spacing w:lineRule="auto" w:line="24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общая площадь, оборудованная горячим водоснабжением</w:t>
        <w:tab/>
        <w:tab/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30,</w:t>
      </w:r>
      <w:r>
        <w:rPr>
          <w:rFonts w:eastAsia="Tahoma" w:cs="Times New Roman" w:ascii="PT Astra Serif" w:hAnsi="PT Astra Serif"/>
          <w:b w:val="false"/>
          <w:bCs w:val="false"/>
          <w:color w:val="1B1B1B"/>
          <w:kern w:val="2"/>
          <w:sz w:val="26"/>
          <w:szCs w:val="26"/>
          <w:lang w:val="ru-RU" w:eastAsia="ru-RU" w:bidi="ar-SA"/>
        </w:rPr>
        <w:t>0</w:t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%</w:t>
      </w:r>
    </w:p>
    <w:p>
      <w:pPr>
        <w:pStyle w:val="Normal"/>
        <w:spacing w:lineRule="auto" w:line="24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общая площадь, оборудованная ваннами</w:t>
        <w:tab/>
        <w:tab/>
        <w:tab/>
        <w:tab/>
        <w:tab/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62,5%</w:t>
      </w:r>
    </w:p>
    <w:p>
      <w:pPr>
        <w:pStyle w:val="Normal"/>
        <w:spacing w:lineRule="auto" w:line="240"/>
        <w:ind w:firstLine="709"/>
        <w:rPr>
          <w:rFonts w:ascii="PT Astra Serif" w:hAnsi="PT Astra Serif" w:cs="Times New Roman"/>
          <w:b w:val="false"/>
          <w:b w:val="false"/>
          <w:bCs w:val="false"/>
          <w:color w:val="1B1B1B"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</w:r>
    </w:p>
    <w:p>
      <w:pPr>
        <w:pStyle w:val="Normal"/>
        <w:spacing w:lineRule="auto" w:line="240" w:before="120" w:after="120"/>
        <w:ind w:firstLine="709"/>
        <w:rPr>
          <w:b w:val="false"/>
          <w:b w:val="false"/>
          <w:bCs w:val="false"/>
        </w:rPr>
      </w:pPr>
      <w:bookmarkStart w:id="0" w:name="__DdeLink__9279_4006588550"/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Экологическая ситуация</w:t>
      </w:r>
      <w:bookmarkEnd w:id="0"/>
    </w:p>
    <w:p>
      <w:pPr>
        <w:pStyle w:val="NormalWeb"/>
        <w:shd w:val="clear" w:color="auto" w:fill="FFFFFF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Предприятий, имеющих сверхнормативные выбросы вредных веществ в атмосферу, на территории Коркинского муниципального района нет.</w:t>
      </w:r>
    </w:p>
    <w:p>
      <w:pPr>
        <w:pStyle w:val="NormalWeb"/>
        <w:shd w:val="clear" w:color="auto" w:fill="FFFFFF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Питьевая вода для нужд Коркинского и Розинского городских поселений подается по водоводу из Шершневского водохранилища. Сточные воды после очистных сооружений поступают в р. Чумляк. Мощность очистных сооружений составляет 8 030 тыс. м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vertAlign w:val="superscript"/>
        </w:rPr>
        <w:t>3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/год.</w:t>
      </w:r>
    </w:p>
    <w:p>
      <w:pPr>
        <w:pStyle w:val="NormalWeb"/>
        <w:shd w:val="clear" w:color="auto" w:fill="FFFFFF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Питьевая вода для нужд Первомайского городского поселения подается из подземных скважин. Сточные воды после очистных сооружений поступают в болото на водосборе ручья Шеино. Мощность очистных сооружений составляет 1 533 тыс. м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  <w:vertAlign w:val="superscript"/>
        </w:rPr>
        <w:t>3</w:t>
      </w: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/год.</w:t>
      </w:r>
    </w:p>
    <w:p>
      <w:pPr>
        <w:pStyle w:val="NormalWeb"/>
        <w:shd w:val="clear" w:color="auto" w:fill="FFFFFF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Паводковая ситуация на территории района находится на контроле у соответствующей комиссии. Бесхозяйных гидротехнических сооружений на территории района нет.</w:t>
      </w:r>
    </w:p>
    <w:p>
      <w:pPr>
        <w:pStyle w:val="Normal"/>
        <w:spacing w:lineRule="auto" w:line="240" w:beforeAutospacing="0" w:before="120" w:afterAutospacing="0" w:after="120"/>
        <w:jc w:val="center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  <w:lang w:val="en-US"/>
        </w:rPr>
        <w:t>II</w:t>
      </w: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. ЭКОНОМИКА</w:t>
      </w:r>
    </w:p>
    <w:p>
      <w:pPr>
        <w:pStyle w:val="Normal"/>
        <w:spacing w:lineRule="auto" w:line="240" w:before="120" w:after="12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Промышленность</w:t>
      </w:r>
    </w:p>
    <w:tbl>
      <w:tblPr>
        <w:tblW w:w="9813" w:type="dxa"/>
        <w:jc w:val="left"/>
        <w:tblInd w:w="25" w:type="dxa"/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747"/>
        <w:gridCol w:w="5066"/>
        <w:gridCol w:w="1497"/>
        <w:gridCol w:w="1300"/>
        <w:gridCol w:w="1203"/>
      </w:tblGrid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 xml:space="preserve">№ </w:t>
            </w: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п/п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Показатель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2019г.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2020г.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2021г.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Отгружено товаров собственного производства, выполнено работ и услуг собственными силами по «чистым» видам деятельности по крупным и средним предприятиям, млн. рублей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10 262,1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10 381,6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13 534,5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*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*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*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8 259,2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8 120,5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10 813,0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производство и распределение электроэнергии, газа и пара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63,2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98,6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60,7</w:t>
            </w:r>
          </w:p>
        </w:tc>
      </w:tr>
      <w:tr>
        <w:trPr/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водоотведение, организация сбора и утилизация отходов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434,5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479,4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893,7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*- </w:t>
      </w:r>
      <w:r>
        <w:rPr>
          <w:rFonts w:ascii="PT Astra Serif" w:hAnsi="PT Astra Serif"/>
          <w:b w:val="false"/>
          <w:bCs w:val="false"/>
          <w:sz w:val="18"/>
          <w:szCs w:val="18"/>
        </w:rPr>
        <w:t>данные не предоставлены органами Челябинскстата в целях обеспечения конфиденциальности первичных статистических данных.</w:t>
      </w:r>
    </w:p>
    <w:p>
      <w:pPr>
        <w:pStyle w:val="Normal"/>
        <w:spacing w:lineRule="auto" w:line="240"/>
        <w:ind w:firstLine="709"/>
        <w:jc w:val="both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Основная доля (</w:t>
      </w:r>
      <w:r>
        <w:rPr>
          <w:rFonts w:eastAsia="Times New Roman" w:cs="Times New Roman" w:ascii="PT Astra Serif" w:hAnsi="PT Astra Serif"/>
          <w:b w:val="false"/>
          <w:bCs w:val="false"/>
          <w:color w:val="1B1B1B"/>
          <w:kern w:val="0"/>
          <w:sz w:val="26"/>
          <w:szCs w:val="26"/>
        </w:rPr>
        <w:t>79,9</w:t>
      </w:r>
      <w:r>
        <w:rPr>
          <w:rFonts w:cs="Times New Roman" w:ascii="PT Astra Serif" w:hAnsi="PT Astra Serif"/>
          <w:b w:val="false"/>
          <w:bCs w:val="false"/>
          <w:color w:val="1B1B1B"/>
          <w:sz w:val="26"/>
          <w:szCs w:val="26"/>
        </w:rPr>
        <w:t>%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) в объеме отгруженных товаров собственного производства и выполненных работ и услуг приходится на обрабатывающие производства.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Основная отрасль промышленности на территории района – производство строительных материалов, главным представителем которого является предприятие по производству цемента – ООО «СЛК Цемент».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На территории района осуществляют деятельность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филиал ООО «Хенкель Рус» в г. Челябинске – производство сухих строительных смесей;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Cs/>
          <w:sz w:val="26"/>
          <w:szCs w:val="26"/>
        </w:rPr>
        <w:t>ООО «Южно-Уральская инвестиционная компания» - производство сухих строительных смесей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;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ООО «Челябинский завод сборно-монолитного каркаса» - производство изделий из бетона и товарного бетона;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ООО «Коркинский кирпичный завод» - производство кирпича;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ООО «Фабрика ЮжУралКартон» - производство высококачественного гофрокартона и гофротары;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ООО «Порфирит» - добыча щебня.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Cs/>
          <w:sz w:val="26"/>
          <w:szCs w:val="26"/>
        </w:rPr>
        <w:t>На территории района действуют предприятия металлургической отрасли: ООО Коркинский завод «ЭВРЗ», ЗАО «Востокметаллургмонтаж-1».</w:t>
      </w:r>
    </w:p>
    <w:p>
      <w:pPr>
        <w:pStyle w:val="Normal"/>
        <w:spacing w:lineRule="auto" w:line="240"/>
        <w:ind w:firstLine="709"/>
        <w:jc w:val="both"/>
        <w:rPr>
          <w:rFonts w:ascii="PT Astra Serif" w:hAnsi="PT Astra Serif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120" w:after="12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 xml:space="preserve">Инвестиции и капитальное строительство. Опыт практической работы по привлечению инвестиций. </w:t>
      </w:r>
    </w:p>
    <w:tbl>
      <w:tblPr>
        <w:tblW w:w="9745" w:type="dxa"/>
        <w:jc w:val="left"/>
        <w:tblInd w:w="96" w:type="dxa"/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573"/>
        <w:gridCol w:w="5265"/>
        <w:gridCol w:w="1300"/>
        <w:gridCol w:w="1307"/>
        <w:gridCol w:w="1300"/>
      </w:tblGrid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 xml:space="preserve">№ </w:t>
            </w: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п/п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Показатель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2020г.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2021г.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951,2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1B1B1B"/>
                <w:sz w:val="26"/>
                <w:szCs w:val="26"/>
              </w:rPr>
              <w:t>997,2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1243,8</w:t>
            </w:r>
            <w:r>
              <w:rPr>
                <w:rFonts w:ascii="PT Astra Serif" w:hAnsi="PT Astra Serif"/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2"/>
                <w:szCs w:val="22"/>
              </w:rPr>
              <w:t>(январь-сентябрь)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Ввод жилых домов, тыс. кв.м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000000"/>
                <w:kern w:val="0"/>
                <w:sz w:val="26"/>
                <w:szCs w:val="26"/>
              </w:rPr>
              <w:t>8,9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10,4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000000"/>
                <w:kern w:val="0"/>
                <w:sz w:val="26"/>
                <w:szCs w:val="26"/>
              </w:rPr>
              <w:t>73,0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6"/>
                <w:szCs w:val="26"/>
              </w:rPr>
              <w:t>72,4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6"/>
                <w:szCs w:val="26"/>
              </w:rPr>
              <w:t>160,0</w:t>
            </w:r>
          </w:p>
        </w:tc>
      </w:tr>
    </w:tbl>
    <w:p>
      <w:pPr>
        <w:pStyle w:val="Style20"/>
        <w:spacing w:lineRule="auto" w:line="240" w:before="0" w:after="0"/>
        <w:ind w:firstLine="709"/>
        <w:rPr>
          <w:rFonts w:ascii="PT Astra Serif" w:hAnsi="PT Astra Serif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</w:r>
    </w:p>
    <w:p>
      <w:pPr>
        <w:pStyle w:val="Style20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Администрация Коркинского муниципального района осуществляет активное взаимодействие с Министерством экономического развития Челябинской области и АНО «Агентство инвестиционного развития Челябинской области».</w:t>
      </w:r>
    </w:p>
    <w:p>
      <w:pPr>
        <w:pStyle w:val="Style20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В целях оказания информационно-консультационного и организационного содействия субъектам предпринимательской и инвестиционной деятельности</w:t>
      </w:r>
      <w:r>
        <w:rPr>
          <w:rFonts w:cs="Arial" w:ascii="PT Astra Serif" w:hAnsi="PT Astra Serif"/>
          <w:b w:val="false"/>
          <w:bCs w:val="false"/>
          <w:sz w:val="35"/>
          <w:szCs w:val="35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разработано положение по сопровождению инвестиционных проектов и размещено на официальном сайте Коркинского муниципального района в разделе Деятельность – Инвестиционная политика.</w:t>
      </w:r>
    </w:p>
    <w:p>
      <w:pPr>
        <w:pStyle w:val="NoSpacing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В целях обеспечения координации действий органов местного самоуправления по вопросам привлечения инвестиций и эффективной реализации инвестиционных проектов на территории района действует Совет по вопросам привлечения инвестиций.</w:t>
      </w:r>
    </w:p>
    <w:p>
      <w:pPr>
        <w:pStyle w:val="NoSpacing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 w:themeColor="text1"/>
          <w:sz w:val="26"/>
          <w:szCs w:val="26"/>
        </w:rPr>
        <w:t>На территории района осуществляют свою деятельность муниципальный проектный комитет и муниципальный проектный офис, целью которых является обеспечение эффективности и результативности деятельности органов местного самоуправления.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В целях снижения административных барьеров и развития предпринимательской деятельности на муниципальном уровне реализуются мероприятия 7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целевых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моделей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упрощения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процедур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ведения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бизнеса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и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повышения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инвестиционной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Strong"/>
          <w:rFonts w:cs="Times New Roman" w:ascii="PT Astra Serif" w:hAnsi="PT Astra Serif"/>
          <w:b w:val="false"/>
          <w:bCs w:val="false"/>
          <w:sz w:val="26"/>
          <w:szCs w:val="26"/>
        </w:rPr>
        <w:t>привлекательности.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Разработан инвестиционный паспорт Коркинского муниципального района.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 w:themeColor="text1"/>
          <w:kern w:val="0"/>
          <w:sz w:val="26"/>
          <w:szCs w:val="26"/>
        </w:rPr>
        <w:t>Сформирован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 перечень свободных промышленных объектов (браунфилды) и свободных земельных участков (гринфилды), пригодных для строительства и размещения новых производств.</w:t>
      </w:r>
    </w:p>
    <w:p>
      <w:pPr>
        <w:pStyle w:val="Normal"/>
        <w:spacing w:lineRule="auto" w:line="240"/>
        <w:ind w:firstLine="709"/>
        <w:rPr>
          <w:rFonts w:ascii="PT Astra Serif" w:hAnsi="PT Astra Serif" w:cs="Times New Roman"/>
          <w:b w:val="false"/>
          <w:b w:val="false"/>
          <w:bCs w:val="false"/>
          <w:i/>
          <w:i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</w:r>
    </w:p>
    <w:p>
      <w:pPr>
        <w:pStyle w:val="Normal"/>
        <w:spacing w:lineRule="auto" w:line="24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Малое предпринимательство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Малый бизнес Коркинского муниципального района представлен большим количеством малых и средних предприятий, индивидуальными предпринимателями и самозанятыми гражданами.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В районе на 01.01.2022 зарегистрировано </w:t>
      </w:r>
      <w:r>
        <w:rPr>
          <w:rFonts w:eastAsia="Tahoma" w:cs="Times New Roman" w:ascii="PT Astra Serif" w:hAnsi="PT Astra Serif"/>
          <w:b w:val="false"/>
          <w:bCs w:val="false"/>
          <w:color w:val="000000"/>
          <w:kern w:val="2"/>
          <w:sz w:val="26"/>
          <w:szCs w:val="26"/>
          <w:lang w:val="ru-RU" w:eastAsia="ru-RU" w:bidi="ar-SA"/>
        </w:rPr>
        <w:t>около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2 тысяч субъектов малого и среднего предпринимательства.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Численность работников занятых в сфере малого и среднего предпринимательства составила 5950 человек. Из общего количества субъектов малого бизнеса около 36,6% действует в сфере торговли, 17,7% - в отрасли транспортировки и хранения, 7,4%, - в обрабатывающих производствах, 8,6% - в строительстве, 1,9% - в гостиничном и ресторанном бизнесе, 4,8% - в научной деятельности, 3,1% - в образовании.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eastAsia="Calibri"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В Коркинском муниципальном районе реализуются мероприятия муниципальной программы «Поддержка и развития малого предпринимательства в Коркинском муниципальном районе».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Субъектам малого и среднего бизнеса оказываются финансовая, имущественная и информационно - консультационная поддержки.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В Коркинском районе осуществляют свою деятельность: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организация Некоммерческое партнерство «Центр защиты прав и интересов предпринимателей Коркинского муниципального района», 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информационно-консультационный центр,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общественный координационный Совет по развитию малого и среднего предпринимательства,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некоммерческая организация «Муниципальный фонд местного развития» Коркинского муниципального района,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общественный представитель уполномоченного по защите прав предпринимателей в Челябинской области по Коркинскому муниципальному району.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Приняты муниципальные нормативно-правовые акты, регламентирующие порядок формирования, ведения и опубликования перечней имущества для предоставления в аренду субъектам малого и среднего предпринимательства.</w:t>
      </w:r>
    </w:p>
    <w:p>
      <w:pPr>
        <w:pStyle w:val="Normal"/>
        <w:spacing w:lineRule="auto" w:line="240"/>
        <w:ind w:firstLine="709"/>
        <w:jc w:val="both"/>
        <w:rPr>
          <w:rFonts w:ascii="PT Astra Serif" w:hAnsi="PT Astra Serif" w:cs="Times New Roman"/>
          <w:b w:val="false"/>
          <w:b w:val="false"/>
          <w:bCs w:val="false"/>
          <w:i/>
          <w:i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</w:r>
    </w:p>
    <w:p>
      <w:pPr>
        <w:pStyle w:val="Normal"/>
        <w:spacing w:lineRule="auto" w:line="240" w:before="120" w:after="120"/>
        <w:jc w:val="center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  <w:lang w:val="en-US"/>
        </w:rPr>
        <w:t>III</w:t>
      </w: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. ИНФРАСТРУКТУРА</w:t>
      </w:r>
    </w:p>
    <w:p>
      <w:pPr>
        <w:pStyle w:val="Normal"/>
        <w:spacing w:lineRule="auto" w:line="240" w:before="120" w:after="12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Наличие схемы территориального планирования муниципального образования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На официальном сайте Коркинского муниципального района в разделе «Градостроительство» размещены документы территориального планирования и градостроительного зонирования муниципальных образований Коркинского муниципального района, а также иные документы в области архитектуры и градостроительства, обеспечивающие устойчивое развитие инженерной, транспортной и социальной инфраструктуры, а также социально-экономическое развитие района.</w:t>
      </w:r>
    </w:p>
    <w:p>
      <w:pPr>
        <w:pStyle w:val="Normal"/>
        <w:spacing w:lineRule="auto" w:line="240"/>
        <w:ind w:firstLine="709"/>
        <w:jc w:val="both"/>
        <w:rPr>
          <w:rFonts w:ascii="PT Astra Serif" w:hAnsi="PT Astra Serif" w:cs="Times New Roman"/>
          <w:b w:val="false"/>
          <w:b w:val="false"/>
          <w:bCs w:val="false"/>
          <w:i/>
          <w:i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Уровень газификации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Уровень газификации на начало 2021 года составил </w:t>
      </w: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70,2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% от общей площади жилищного фонда. Одиночное протяжение уличной газовой сети — 484,99 км.</w:t>
      </w:r>
    </w:p>
    <w:p>
      <w:pPr>
        <w:pStyle w:val="Normal"/>
        <w:spacing w:lineRule="auto" w:line="240"/>
        <w:ind w:firstLine="709"/>
        <w:jc w:val="both"/>
        <w:rPr>
          <w:rFonts w:ascii="PT Astra Serif" w:hAnsi="PT Astra Serif" w:cs="Times New Roman"/>
          <w:b w:val="false"/>
          <w:b w:val="false"/>
          <w:bCs w:val="false"/>
          <w:i/>
          <w:i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Транспортная система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Протяженность автомобильных дорог общего пользования в районе 240,3км, Протяженность автомобильных дорог с </w:t>
      </w:r>
      <w:r>
        <w:rPr>
          <w:rFonts w:eastAsia="Tahoma" w:cs="Times New Roman" w:ascii="PT Astra Serif" w:hAnsi="PT Astra Serif"/>
          <w:b w:val="false"/>
          <w:bCs w:val="false"/>
          <w:color w:val="000000"/>
          <w:kern w:val="2"/>
          <w:sz w:val="26"/>
          <w:szCs w:val="26"/>
          <w:lang w:val="ru-RU" w:eastAsia="ru-RU" w:bidi="ar-SA"/>
        </w:rPr>
        <w:t xml:space="preserve">твердым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покрытием составляет 131,9 км, из них 107,9 км дорог с усовершенствованным покрытием.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Организацию транспортного обслуживания населения на территории района осуществляет ООО «Коркинское Автотранспортное предприятие», имеющее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A"/>
          <w:kern w:val="0"/>
          <w:sz w:val="26"/>
          <w:szCs w:val="26"/>
        </w:rPr>
        <w:t>80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единиц подвижного состава. Существующая маршрутная сеть района включает 4 муниципальных маршрута и 8 межмуниципальных маршрутов. Внедрены и используются спутниковые навигационные технологии (ГЛОНАСС) на </w:t>
      </w:r>
      <w:r>
        <w:rPr>
          <w:rFonts w:eastAsia="Times New Roman" w:cs="Times New Roman" w:ascii="PT Astra Serif" w:hAnsi="PT Astra Serif"/>
          <w:b w:val="false"/>
          <w:bCs w:val="false"/>
          <w:color w:val="00000A"/>
          <w:kern w:val="0"/>
          <w:sz w:val="26"/>
          <w:szCs w:val="26"/>
        </w:rPr>
        <w:t>66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единицах пассажирского транспорта.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Услуги железнодорожного характера на путях не общего пользования предоставляет ООО «Погрузочно</w:t>
      </w:r>
      <w:r>
        <w:rPr>
          <w:rFonts w:cs="Times New Roman" w:ascii="PT Astra Serif" w:hAnsi="PT Astra Serif"/>
          <w:b w:val="false"/>
          <w:bCs w:val="false"/>
          <w:color w:val="333333"/>
          <w:sz w:val="26"/>
          <w:szCs w:val="26"/>
        </w:rPr>
        <w:t>-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транспортное управление». Предприятие осуществляет перевозки различных грузов сторонним потребителям (металлопрокат, бензин, масло), занимается ремонтом тягового подвижного состава.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Связь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Услуги связи на территории Коркинского муниципального района предоставляет Челябинский филиал МРФ Урал ПАО «Ростелеком», ООО «Телком», ООО «Интерсвязь», ОСП «Коркинский почтамт», ООО «Коркино – сети кабельного телевидения».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На территории района действуют 5 операторов сотовой связи.</w:t>
      </w:r>
    </w:p>
    <w:p>
      <w:pPr>
        <w:pStyle w:val="Normal"/>
        <w:spacing w:lineRule="auto" w:line="240" w:before="120" w:after="120"/>
        <w:ind w:firstLine="709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Здравоохранение, образование, культура, спорт</w:t>
      </w:r>
    </w:p>
    <w:p>
      <w:pPr>
        <w:pStyle w:val="Style20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Здравоохранение на территории Коркинского муниципального района включает 8 лечебно-профилактических учреждений: ГБУЗ «Городская больница №1 г. Коркино», ГБУЗ «Городская детская больница г. Коркино»,ГБУЗ «Городская больница №2 г. Коркино»,ГБУЗ «Городская больница №3»,ГБУЗ «Станция скорой медицинской помощи г. Коркино»,ГБУЗ «Врачебно-физкультурный диспансер г. Коркино», структурное подразделение ГБУЗ «Областная туберкулёзная больница №1» и поликлиническое отделение №7 ГБУЗ «Областной кожно-венерологический диспансер №3».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Филиал Федерального бюджетного учреждения здравоохранения «Центр гигиены и эпидемиологии в Челябинской области в городе Коркино и городе Еманжелинске, Еткульском районе» обеспечивает деятельность по осуществлению надзора и контроля при проведении проверок соблюдения и выполнения юридическими лицами, индивидуальными предпринимателями и гражданами требований законодательства РФ в области обеспечения санитарно-эпидемиологического благополучия населения.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eastAsia="TimesNewRomanPSMT" w:cs="Times New Roman" w:ascii="PT Astra Serif" w:hAnsi="PT Astra Serif"/>
          <w:b w:val="false"/>
          <w:bCs w:val="false"/>
          <w:sz w:val="26"/>
          <w:szCs w:val="26"/>
        </w:rPr>
        <w:t>Основной задачей системы здравоохранения является сохранение и укрепление здоровья населения, повышение доступности и качества медицинских услуг.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В целях выявления заболеваний на ранних стадиях, в первую очередь, сердечно-сосудистых и онкологических, проведения своевременных лечебных и реабилитационных мероприятий и последующего наблюдения за здоровьем граждан в районе, проводилась работа по диспансеризации определенных групп населения.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iCs/>
          <w:sz w:val="26"/>
          <w:szCs w:val="26"/>
        </w:rPr>
        <w:t xml:space="preserve">Образовательную деятельность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осуществляют 40 образовательных учреждений.</w:t>
      </w:r>
    </w:p>
    <w:p>
      <w:pPr>
        <w:pStyle w:val="Style131"/>
        <w:spacing w:lineRule="auto" w:line="240"/>
        <w:ind w:firstLine="709"/>
        <w:jc w:val="both"/>
        <w:rPr/>
      </w:pPr>
      <w:r>
        <w:rPr>
          <w:rStyle w:val="FontStyle38"/>
          <w:rFonts w:ascii="PT Astra Serif" w:hAnsi="PT Astra Serif"/>
          <w:b w:val="false"/>
          <w:bCs w:val="false"/>
          <w:sz w:val="26"/>
          <w:szCs w:val="26"/>
        </w:rPr>
        <w:t xml:space="preserve">В системе общего образования Коркинского муниципального района функционируют в статусе юридических лиц 16 организаций, реализующих программы начального общего, основного общего и среднего общего образования. </w:t>
      </w:r>
      <w:r>
        <w:rPr>
          <w:rFonts w:ascii="PT Astra Serif" w:hAnsi="PT Astra Serif"/>
          <w:b w:val="false"/>
          <w:bCs w:val="false"/>
          <w:sz w:val="26"/>
          <w:szCs w:val="26"/>
        </w:rPr>
        <w:t>Средних общеобразовательных учреждений – 5, основных общеобразовательных учреждений – 9 (в том числе 1 для обучающихся с ОВЗ), начальных общеобразовательных учреждений – 2.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Контингент обучающихся – 7 426 человек.</w:t>
      </w:r>
    </w:p>
    <w:p>
      <w:pPr>
        <w:pStyle w:val="Style131"/>
        <w:widowControl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ть общ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обр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z w:val="26"/>
          <w:szCs w:val="26"/>
        </w:rPr>
        <w:t>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тел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ьн</w:t>
      </w:r>
      <w:r>
        <w:rPr>
          <w:rFonts w:ascii="PT Astra Serif" w:hAnsi="PT Astra Serif"/>
          <w:b w:val="false"/>
          <w:bCs w:val="false"/>
          <w:spacing w:val="-3"/>
          <w:sz w:val="26"/>
          <w:szCs w:val="26"/>
        </w:rPr>
        <w:t>ы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х 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ч</w:t>
      </w:r>
      <w:r>
        <w:rPr>
          <w:rFonts w:ascii="PT Astra Serif" w:hAnsi="PT Astra Serif"/>
          <w:b w:val="false"/>
          <w:bCs w:val="false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жд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ни</w:t>
      </w:r>
      <w:r>
        <w:rPr>
          <w:rFonts w:ascii="PT Astra Serif" w:hAnsi="PT Astra Serif"/>
          <w:b w:val="false"/>
          <w:bCs w:val="false"/>
          <w:sz w:val="26"/>
          <w:szCs w:val="26"/>
        </w:rPr>
        <w:t>й об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ес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еч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ае</w:t>
      </w:r>
      <w:r>
        <w:rPr>
          <w:rFonts w:ascii="PT Astra Serif" w:hAnsi="PT Astra Serif"/>
          <w:b w:val="false"/>
          <w:bCs w:val="false"/>
          <w:sz w:val="26"/>
          <w:szCs w:val="26"/>
        </w:rPr>
        <w:t>т го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д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z w:val="26"/>
          <w:szCs w:val="26"/>
        </w:rPr>
        <w:t>тв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нн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ы</w:t>
      </w:r>
      <w:r>
        <w:rPr>
          <w:rFonts w:ascii="PT Astra Serif" w:hAnsi="PT Astra Serif"/>
          <w:b w:val="false"/>
          <w:bCs w:val="false"/>
          <w:sz w:val="26"/>
          <w:szCs w:val="26"/>
        </w:rPr>
        <w:t>е г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</w:t>
      </w:r>
      <w:r>
        <w:rPr>
          <w:rFonts w:ascii="PT Astra Serif" w:hAnsi="PT Astra Serif"/>
          <w:b w:val="false"/>
          <w:bCs w:val="false"/>
          <w:sz w:val="26"/>
          <w:szCs w:val="26"/>
        </w:rPr>
        <w:t>т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z w:val="26"/>
          <w:szCs w:val="26"/>
        </w:rPr>
        <w:t>и до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pacing w:val="3"/>
          <w:sz w:val="26"/>
          <w:szCs w:val="26"/>
        </w:rPr>
        <w:t>т</w:t>
      </w:r>
      <w:r>
        <w:rPr>
          <w:rFonts w:ascii="PT Astra Serif" w:hAnsi="PT Astra Serif"/>
          <w:b w:val="false"/>
          <w:bCs w:val="false"/>
          <w:spacing w:val="-7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пн</w:t>
      </w:r>
      <w:r>
        <w:rPr>
          <w:rFonts w:ascii="PT Astra Serif" w:hAnsi="PT Astra Serif"/>
          <w:b w:val="false"/>
          <w:bCs w:val="false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z w:val="26"/>
          <w:szCs w:val="26"/>
        </w:rPr>
        <w:t>ти обр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z w:val="26"/>
          <w:szCs w:val="26"/>
        </w:rPr>
        <w:t>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ни</w:t>
      </w:r>
      <w:r>
        <w:rPr>
          <w:rFonts w:ascii="PT Astra Serif" w:hAnsi="PT Astra Serif"/>
          <w:b w:val="false"/>
          <w:bCs w:val="false"/>
          <w:sz w:val="26"/>
          <w:szCs w:val="26"/>
        </w:rPr>
        <w:t>я, ор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</w:t>
      </w:r>
      <w:r>
        <w:rPr>
          <w:rFonts w:ascii="PT Astra Serif" w:hAnsi="PT Astra Serif"/>
          <w:b w:val="false"/>
          <w:bCs w:val="false"/>
          <w:spacing w:val="-2"/>
          <w:sz w:val="26"/>
          <w:szCs w:val="26"/>
        </w:rPr>
        <w:t>т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pacing w:val="-2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z w:val="26"/>
          <w:szCs w:val="26"/>
        </w:rPr>
        <w:t>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а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а </w:t>
      </w:r>
      <w:r>
        <w:rPr>
          <w:rFonts w:ascii="PT Astra Serif" w:hAnsi="PT Astra Serif"/>
          <w:b w:val="false"/>
          <w:bCs w:val="false"/>
          <w:spacing w:val="-7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z w:val="26"/>
          <w:szCs w:val="26"/>
        </w:rPr>
        <w:t>д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z w:val="26"/>
          <w:szCs w:val="26"/>
        </w:rPr>
        <w:t>вл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твор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3"/>
          <w:sz w:val="26"/>
          <w:szCs w:val="26"/>
        </w:rPr>
        <w:t>н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е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</w:rPr>
        <w:t>ро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ов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асе</w:t>
      </w:r>
      <w:r>
        <w:rPr>
          <w:rFonts w:ascii="PT Astra Serif" w:hAnsi="PT Astra Serif"/>
          <w:b w:val="false"/>
          <w:bCs w:val="false"/>
          <w:sz w:val="26"/>
          <w:szCs w:val="26"/>
        </w:rPr>
        <w:t>л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я в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л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че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ни</w:t>
      </w:r>
      <w:r>
        <w:rPr>
          <w:rFonts w:ascii="PT Astra Serif" w:hAnsi="PT Astra Serif"/>
          <w:b w:val="false"/>
          <w:bCs w:val="false"/>
          <w:sz w:val="26"/>
          <w:szCs w:val="26"/>
        </w:rPr>
        <w:t>и общ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го о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б</w:t>
      </w:r>
      <w:r>
        <w:rPr>
          <w:rFonts w:ascii="PT Astra Serif" w:hAnsi="PT Astra Serif"/>
          <w:b w:val="false"/>
          <w:bCs w:val="false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z w:val="26"/>
          <w:szCs w:val="26"/>
        </w:rPr>
        <w:t>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ни</w:t>
      </w:r>
      <w:r>
        <w:rPr>
          <w:rFonts w:ascii="PT Astra Serif" w:hAnsi="PT Astra Serif"/>
          <w:b w:val="false"/>
          <w:bCs w:val="false"/>
          <w:sz w:val="26"/>
          <w:szCs w:val="26"/>
        </w:rPr>
        <w:t>я 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z w:val="26"/>
          <w:szCs w:val="26"/>
        </w:rPr>
        <w:t>л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ч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ого 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z w:val="26"/>
          <w:szCs w:val="26"/>
        </w:rPr>
        <w:t>вня и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 xml:space="preserve"> н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вл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нн</w:t>
      </w:r>
      <w:r>
        <w:rPr>
          <w:rFonts w:ascii="PT Astra Serif" w:hAnsi="PT Astra Serif"/>
          <w:b w:val="false"/>
          <w:bCs w:val="false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z w:val="26"/>
          <w:szCs w:val="26"/>
        </w:rPr>
        <w:t>т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z w:val="26"/>
          <w:szCs w:val="26"/>
        </w:rPr>
        <w:t>. О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б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ча</w:t>
      </w:r>
      <w:r>
        <w:rPr>
          <w:rFonts w:ascii="PT Astra Serif" w:hAnsi="PT Astra Serif"/>
          <w:b w:val="false"/>
          <w:bCs w:val="false"/>
          <w:sz w:val="26"/>
          <w:szCs w:val="26"/>
        </w:rPr>
        <w:t>ющ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мс</w:t>
      </w:r>
      <w:r>
        <w:rPr>
          <w:rFonts w:ascii="PT Astra Serif" w:hAnsi="PT Astra Serif"/>
          <w:b w:val="false"/>
          <w:bCs w:val="false"/>
          <w:sz w:val="26"/>
          <w:szCs w:val="26"/>
        </w:rPr>
        <w:t>я и род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телям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до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z w:val="26"/>
          <w:szCs w:val="26"/>
        </w:rPr>
        <w:t>та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в</w:t>
      </w:r>
      <w:r>
        <w:rPr>
          <w:rFonts w:ascii="PT Astra Serif" w:hAnsi="PT Astra Serif"/>
          <w:b w:val="false"/>
          <w:bCs w:val="false"/>
          <w:sz w:val="26"/>
          <w:szCs w:val="26"/>
        </w:rPr>
        <w:t>ля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тся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во 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ы</w:t>
      </w:r>
      <w:r>
        <w:rPr>
          <w:rFonts w:ascii="PT Astra Serif" w:hAnsi="PT Astra Serif"/>
          <w:b w:val="false"/>
          <w:bCs w:val="false"/>
          <w:sz w:val="26"/>
          <w:szCs w:val="26"/>
        </w:rPr>
        <w:t>бора общ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обр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5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z w:val="26"/>
          <w:szCs w:val="26"/>
        </w:rPr>
        <w:t>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тел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ьн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ого 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ч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жд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я, форм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л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че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ни</w:t>
      </w:r>
      <w:r>
        <w:rPr>
          <w:rFonts w:ascii="PT Astra Serif" w:hAnsi="PT Astra Serif"/>
          <w:b w:val="false"/>
          <w:bCs w:val="false"/>
          <w:sz w:val="26"/>
          <w:szCs w:val="26"/>
        </w:rPr>
        <w:t>я обр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z w:val="26"/>
          <w:szCs w:val="26"/>
        </w:rPr>
        <w:t>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я,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</w:rPr>
        <w:t>роф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z w:val="26"/>
          <w:szCs w:val="26"/>
        </w:rPr>
        <w:t>ля образов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ан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z w:val="26"/>
          <w:szCs w:val="26"/>
        </w:rPr>
        <w:t>я, обр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z w:val="26"/>
          <w:szCs w:val="26"/>
        </w:rPr>
        <w:t>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тел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ьн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ых 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z w:val="26"/>
          <w:szCs w:val="26"/>
        </w:rPr>
        <w:t>рог</w:t>
      </w:r>
      <w:r>
        <w:rPr>
          <w:rFonts w:ascii="PT Astra Serif" w:hAnsi="PT Astra Serif"/>
          <w:b w:val="false"/>
          <w:bCs w:val="false"/>
          <w:spacing w:val="-2"/>
          <w:sz w:val="26"/>
          <w:szCs w:val="26"/>
        </w:rPr>
        <w:t>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амм</w:t>
      </w:r>
      <w:r>
        <w:rPr>
          <w:rFonts w:ascii="PT Astra Serif" w:hAnsi="PT Astra Serif"/>
          <w:b w:val="false"/>
          <w:bCs w:val="false"/>
          <w:sz w:val="26"/>
          <w:szCs w:val="26"/>
        </w:rPr>
        <w:t>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Уровень охвата детей обязательным общим образованием составляет 100%. </w:t>
      </w:r>
    </w:p>
    <w:p>
      <w:pPr>
        <w:pStyle w:val="NoSpacing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Вне образовательной организации в форме семейного образования обучаются 81 человек, из них 13 несовершеннолетних возрастной и физической нормы, которые обучаются на уровне начального общего, основного общего и среднего общего образования, и 68 детей-инвалидов, родители (законные представители) которых получают компенсацию затрат в части организации обучения по основным общеобразовательным программам на дому. </w:t>
      </w:r>
    </w:p>
    <w:p>
      <w:pPr>
        <w:pStyle w:val="NoSpacing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В 13 профильных группах (классах) обучается 200 старшеклассников (67,8%).      Созданы определенные условия для организации специальных услуг детям с ограниченными возможностями здоровья. О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х</w:t>
      </w:r>
      <w:r>
        <w:rPr>
          <w:rFonts w:ascii="PT Astra Serif" w:hAnsi="PT Astra Serif"/>
          <w:b w:val="false"/>
          <w:bCs w:val="false"/>
          <w:sz w:val="26"/>
          <w:szCs w:val="26"/>
        </w:rPr>
        <w:t>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т 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ча</w:t>
      </w:r>
      <w:r>
        <w:rPr>
          <w:rFonts w:ascii="PT Astra Serif" w:hAnsi="PT Astra Serif"/>
          <w:b w:val="false"/>
          <w:bCs w:val="false"/>
          <w:sz w:val="26"/>
          <w:szCs w:val="26"/>
        </w:rPr>
        <w:t>щ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х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я 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п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ци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л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ьн</w:t>
      </w:r>
      <w:r>
        <w:rPr>
          <w:rFonts w:ascii="PT Astra Serif" w:hAnsi="PT Astra Serif"/>
          <w:b w:val="false"/>
          <w:bCs w:val="false"/>
          <w:sz w:val="26"/>
          <w:szCs w:val="26"/>
        </w:rPr>
        <w:t>ы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м</w:t>
      </w:r>
      <w:r>
        <w:rPr>
          <w:rFonts w:ascii="PT Astra Serif" w:hAnsi="PT Astra Serif"/>
          <w:b w:val="false"/>
          <w:bCs w:val="false"/>
          <w:sz w:val="26"/>
          <w:szCs w:val="26"/>
        </w:rPr>
        <w:t>и (коррек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ци</w:t>
      </w:r>
      <w:r>
        <w:rPr>
          <w:rFonts w:ascii="PT Astra Serif" w:hAnsi="PT Astra Serif"/>
          <w:b w:val="false"/>
          <w:bCs w:val="false"/>
          <w:spacing w:val="-2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нн</w:t>
      </w:r>
      <w:r>
        <w:rPr>
          <w:rFonts w:ascii="PT Astra Serif" w:hAnsi="PT Astra Serif"/>
          <w:b w:val="false"/>
          <w:bCs w:val="false"/>
          <w:sz w:val="26"/>
          <w:szCs w:val="26"/>
        </w:rPr>
        <w:t>ы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м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и</w:t>
      </w:r>
      <w:r>
        <w:rPr>
          <w:rFonts w:ascii="PT Astra Serif" w:hAnsi="PT Astra Serif"/>
          <w:b w:val="false"/>
          <w:bCs w:val="false"/>
          <w:sz w:val="26"/>
          <w:szCs w:val="26"/>
        </w:rPr>
        <w:t>) обр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з</w:t>
      </w:r>
      <w:r>
        <w:rPr>
          <w:rFonts w:ascii="PT Astra Serif" w:hAnsi="PT Astra Serif"/>
          <w:b w:val="false"/>
          <w:bCs w:val="false"/>
          <w:sz w:val="26"/>
          <w:szCs w:val="26"/>
        </w:rPr>
        <w:t>ов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т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л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ьн</w:t>
      </w:r>
      <w:r>
        <w:rPr>
          <w:rFonts w:ascii="PT Astra Serif" w:hAnsi="PT Astra Serif"/>
          <w:b w:val="false"/>
          <w:bCs w:val="false"/>
          <w:sz w:val="26"/>
          <w:szCs w:val="26"/>
        </w:rPr>
        <w:t>ы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м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и 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pacing w:val="5"/>
          <w:sz w:val="26"/>
          <w:szCs w:val="26"/>
        </w:rPr>
        <w:t>л</w:t>
      </w:r>
      <w:r>
        <w:rPr>
          <w:rFonts w:ascii="PT Astra Serif" w:hAnsi="PT Astra Serif"/>
          <w:b w:val="false"/>
          <w:bCs w:val="false"/>
          <w:spacing w:val="-5"/>
          <w:sz w:val="26"/>
          <w:szCs w:val="26"/>
        </w:rPr>
        <w:t>у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г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ам</w:t>
      </w:r>
      <w:r>
        <w:rPr>
          <w:rFonts w:ascii="PT Astra Serif" w:hAnsi="PT Astra Serif"/>
          <w:b w:val="false"/>
          <w:bCs w:val="false"/>
          <w:sz w:val="26"/>
          <w:szCs w:val="26"/>
        </w:rPr>
        <w:t>и от в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ы</w:t>
      </w:r>
      <w:r>
        <w:rPr>
          <w:rFonts w:ascii="PT Astra Serif" w:hAnsi="PT Astra Serif"/>
          <w:b w:val="false"/>
          <w:bCs w:val="false"/>
          <w:sz w:val="26"/>
          <w:szCs w:val="26"/>
        </w:rPr>
        <w:t>явл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нн</w:t>
      </w:r>
      <w:r>
        <w:rPr>
          <w:rFonts w:ascii="PT Astra Serif" w:hAnsi="PT Astra Serif"/>
          <w:b w:val="false"/>
          <w:bCs w:val="false"/>
          <w:sz w:val="26"/>
          <w:szCs w:val="26"/>
        </w:rPr>
        <w:t>ой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 xml:space="preserve"> п</w:t>
      </w:r>
      <w:r>
        <w:rPr>
          <w:rFonts w:ascii="PT Astra Serif" w:hAnsi="PT Astra Serif"/>
          <w:b w:val="false"/>
          <w:bCs w:val="false"/>
          <w:sz w:val="26"/>
          <w:szCs w:val="26"/>
        </w:rPr>
        <w:t>отр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е</w:t>
      </w:r>
      <w:r>
        <w:rPr>
          <w:rFonts w:ascii="PT Astra Serif" w:hAnsi="PT Astra Serif"/>
          <w:b w:val="false"/>
          <w:bCs w:val="false"/>
          <w:sz w:val="26"/>
          <w:szCs w:val="26"/>
        </w:rPr>
        <w:t>б</w:t>
      </w:r>
      <w:r>
        <w:rPr>
          <w:rFonts w:ascii="PT Astra Serif" w:hAnsi="PT Astra Serif"/>
          <w:b w:val="false"/>
          <w:bCs w:val="false"/>
          <w:spacing w:val="1"/>
          <w:sz w:val="26"/>
          <w:szCs w:val="26"/>
        </w:rPr>
        <w:t>н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pacing w:val="-2"/>
          <w:sz w:val="26"/>
          <w:szCs w:val="26"/>
        </w:rPr>
        <w:t>т</w:t>
      </w:r>
      <w:r>
        <w:rPr>
          <w:rFonts w:ascii="PT Astra Serif" w:hAnsi="PT Astra Serif"/>
          <w:b w:val="false"/>
          <w:bCs w:val="false"/>
          <w:sz w:val="26"/>
          <w:szCs w:val="26"/>
        </w:rPr>
        <w:t>и в 2021 го</w:t>
      </w:r>
      <w:r>
        <w:rPr>
          <w:rFonts w:ascii="PT Astra Serif" w:hAnsi="PT Astra Serif"/>
          <w:b w:val="false"/>
          <w:bCs w:val="false"/>
          <w:spacing w:val="2"/>
          <w:sz w:val="26"/>
          <w:szCs w:val="26"/>
        </w:rPr>
        <w:t>д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у 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z w:val="26"/>
          <w:szCs w:val="26"/>
        </w:rPr>
        <w:t>о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с</w:t>
      </w:r>
      <w:r>
        <w:rPr>
          <w:rFonts w:ascii="PT Astra Serif" w:hAnsi="PT Astra Serif"/>
          <w:b w:val="false"/>
          <w:bCs w:val="false"/>
          <w:spacing w:val="3"/>
          <w:sz w:val="26"/>
          <w:szCs w:val="26"/>
        </w:rPr>
        <w:t>т</w:t>
      </w:r>
      <w:r>
        <w:rPr>
          <w:rFonts w:ascii="PT Astra Serif" w:hAnsi="PT Astra Serif"/>
          <w:b w:val="false"/>
          <w:bCs w:val="false"/>
          <w:spacing w:val="-1"/>
          <w:sz w:val="26"/>
          <w:szCs w:val="26"/>
        </w:rPr>
        <w:t>а</w:t>
      </w:r>
      <w:r>
        <w:rPr>
          <w:rFonts w:ascii="PT Astra Serif" w:hAnsi="PT Astra Serif"/>
          <w:b w:val="false"/>
          <w:bCs w:val="false"/>
          <w:sz w:val="26"/>
          <w:szCs w:val="26"/>
        </w:rPr>
        <w:t>вил 100 %.</w:t>
      </w:r>
    </w:p>
    <w:p>
      <w:pPr>
        <w:pStyle w:val="NoSpacing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Индикативный показатель «доля общеобразовательных учреждений, в которых создана универсальная безбарьерная среда, позволяющая обеспечить совместное обучение инвалидов и лиц, не имеющих нарушений развития» составляет 22,22%.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В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6"/>
          <w:szCs w:val="26"/>
        </w:rPr>
        <w:t xml:space="preserve"> 2021 году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осуществлялась дальнейшая цифровая трансформация системы образования, направленная на формирование цифровой зрелости, расширение открытости и публичности системы образования и её результатов. </w:t>
      </w: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Все образовательные организации, расположенные на территории района, обеспечены Интернет-соединением со скоростью соединения 100Мб/c – для образовательных организаций, расположенных в городе, 50Мб/c – для образовательных организаций, расположенных в сельской местности и в поселках городского типа, а также гарантированным интернет-трафиком. На базе школы № 28  в рамках федерального проекта «Современная школа» создан Центр образования «Точка роста». </w:t>
      </w:r>
      <w:r>
        <w:rPr>
          <w:rStyle w:val="FontStyle38"/>
          <w:rFonts w:ascii="PT Astra Serif" w:hAnsi="PT Astra Serif"/>
          <w:b w:val="false"/>
          <w:bCs w:val="false"/>
          <w:sz w:val="26"/>
          <w:szCs w:val="26"/>
        </w:rPr>
        <w:t>В семь школ поставлено оборудование для реализации эксперимента в рамках цифровой образовательной среды, в том числе многофункциональные устройства, ноутбуки для педагогов и управленческого персонала, интерактивные комплексы, ноутбуки для мобильного класса.</w:t>
      </w:r>
      <w:r>
        <w:rPr>
          <w:rFonts w:eastAsia="Times New Roman" w:cs="Times New Roman" w:ascii="PT Astra Serif" w:hAnsi="PT Astra Serif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В районе созданы условия для развития потенциальных возможностей одаренных детей.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В 2021 году в нашем районе:</w:t>
      </w:r>
    </w:p>
    <w:p>
      <w:pPr>
        <w:pStyle w:val="Normal"/>
        <w:spacing w:lineRule="auto" w:line="240"/>
        <w:ind w:firstLine="709"/>
        <w:jc w:val="both"/>
        <w:textAlignment w:val="baseline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- 24 призера регионального этапа Всероссийской олимпиады;</w:t>
      </w:r>
    </w:p>
    <w:p>
      <w:pPr>
        <w:pStyle w:val="Normal"/>
        <w:spacing w:lineRule="auto" w:line="240"/>
        <w:ind w:firstLine="709"/>
        <w:jc w:val="both"/>
        <w:textAlignment w:val="baseline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- 1 призер областной олимпиады школьников;</w:t>
      </w:r>
    </w:p>
    <w:p>
      <w:pPr>
        <w:pStyle w:val="Normal"/>
        <w:widowControl/>
        <w:tabs>
          <w:tab w:val="clear" w:pos="708"/>
          <w:tab w:val="left" w:pos="136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- 19 призеров заключительного этапа многопрофильной инженерной олимпиады «Звезда»;</w:t>
      </w:r>
    </w:p>
    <w:p>
      <w:pPr>
        <w:pStyle w:val="Normal"/>
        <w:spacing w:lineRule="auto" w:line="240"/>
        <w:ind w:firstLine="709"/>
        <w:jc w:val="both"/>
        <w:textAlignment w:val="baseline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- 44 выпускника основной школы имеют аттестаты с отличием;</w:t>
      </w:r>
    </w:p>
    <w:p>
      <w:pPr>
        <w:pStyle w:val="Normal"/>
        <w:spacing w:lineRule="auto" w:line="240"/>
        <w:ind w:firstLine="709"/>
        <w:jc w:val="both"/>
        <w:textAlignment w:val="baseline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- 16 выпускников-медалистов.</w:t>
      </w:r>
    </w:p>
    <w:p>
      <w:pPr>
        <w:pStyle w:val="Normal"/>
        <w:spacing w:lineRule="auto" w:line="240"/>
        <w:ind w:firstLine="567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 xml:space="preserve">В 2021 году 4 996 (67 %) обучающихся общеобразовательных учреждений  приняли участие в интеллектуальных и творческих конкурсах, соревнованиях муниципального, регионального, федерального уровней, из них 492 (10%) стали дипломантами, победителями и призерами. 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3 117 человек получают дополнительное образование в МКОУДО «ЦДОД» Коркинского и Первомайского городских поселений. В школьных объединениях дополнительного образования обучаются 4 076 человек. В дошкольных образовательных учреждениях дополнительным образованием охвачено 1 519  детей в возрасте 5-7 лет.</w:t>
      </w:r>
      <w:bookmarkStart w:id="1" w:name="_GoBack"/>
      <w:bookmarkEnd w:id="1"/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Победителями, призерами, дипломантами мероприятий районного, областного, всероссийского и международного уровней стали 865 человек, обучающихся в учреждениях дополнительного образования.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100 одаренных детей и подростков награждены стипендией Главы Коркинского муниципального района.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В системе дошкольного образования района 3 237 детей воспитываются в 22 детских садах и 10 дошкольных группах, открытых на базе школ № 10, 14, 22, 29.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В 2021 году актуальный спрос на устройство детей в дошкольные учреждения  полностью удовлетворен. Охват детей дошкольным образованием составляет 74,9%.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Обеспеченность местами в возрасте от трех до семи лет -100%.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Показатель результативности выполнения национального проекта «Демография» - доступность дошкольного образования для детей от 2 мес. до 3 лет и для детей старше 3-х лет - составляет 100%. В рамках проекта «Содействие занятости женщин – создание условий дошкольного образования для детей в возрасте до трех лет» в районе работает группа для детей в возрасте от 2 месяцев до 1 года.</w:t>
      </w:r>
    </w:p>
    <w:p>
      <w:pPr>
        <w:pStyle w:val="21"/>
        <w:shd w:val="clear" w:fill="FFFFFF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 xml:space="preserve">В дошкольных учреждениях работают 386 педагогических работников. Доля педагогов в возрасте до 35 лет составляет 20%. </w:t>
      </w:r>
    </w:p>
    <w:p>
      <w:pPr>
        <w:pStyle w:val="21"/>
        <w:shd w:val="clear" w:fill="FFFFFF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 xml:space="preserve">В школах работает 441 педагог. Доля педагогов в возрасте до 35 лет составляет 27 %. </w:t>
      </w:r>
    </w:p>
    <w:p>
      <w:pPr>
        <w:pStyle w:val="21"/>
        <w:shd w:val="clear" w:fill="FFFFFF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color w:val="000000"/>
          <w:sz w:val="26"/>
          <w:szCs w:val="26"/>
        </w:rPr>
        <w:t>Аттестовано на высшую и первую квалификационную категорию 54% педагогических работников.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 xml:space="preserve">Профессиональный рост и самосовершенствование педагогов реализуется через участие в различных конкурсах. В областном туре конкурсов «Учитель года», «Педагог года в дошкольном образовании», «Учитель-дефектолог» приняли победители муниципального этапа. Более 150 педагогов образовательных организаций участвовали в онлайн-конкурсах различных направленностей. </w:t>
      </w:r>
      <w:r>
        <w:rPr>
          <w:rFonts w:cs="Times New Roman" w:ascii="PT Astra Serif" w:hAnsi="PT Astra Serif"/>
          <w:b w:val="false"/>
          <w:bCs w:val="false"/>
          <w:i/>
          <w:color w:val="000000"/>
          <w:sz w:val="26"/>
          <w:szCs w:val="26"/>
        </w:rPr>
        <w:t xml:space="preserve"> </w:t>
      </w: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За 3 последних года в конкурсах приняли участие 23,75% педагогов.</w:t>
      </w:r>
    </w:p>
    <w:p>
      <w:pPr>
        <w:pStyle w:val="Standard"/>
        <w:spacing w:lineRule="auto" w:line="240"/>
        <w:ind w:firstLine="709"/>
        <w:jc w:val="both"/>
        <w:rPr>
          <w:rFonts w:cs="Times New Roman"/>
          <w:b w:val="false"/>
          <w:b w:val="false"/>
          <w:bCs w:val="false"/>
          <w:i/>
          <w:i/>
          <w:iCs/>
          <w:color w:val="000000"/>
          <w:sz w:val="26"/>
          <w:szCs w:val="26"/>
        </w:rPr>
      </w:pPr>
      <w:r>
        <w:rPr>
          <w:rFonts w:cs="Times New Roman"/>
          <w:b w:val="false"/>
          <w:bCs w:val="false"/>
          <w:i/>
          <w:iCs/>
          <w:color w:val="000000"/>
          <w:sz w:val="26"/>
          <w:szCs w:val="26"/>
        </w:rPr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iCs/>
          <w:color w:val="000000" w:themeColor="text1"/>
          <w:sz w:val="26"/>
          <w:szCs w:val="26"/>
        </w:rPr>
        <w:t xml:space="preserve">Культура Коркинского муниципального района 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– это 8 библиотек, 3 учреждения культурно-досугового типа (в т.ч. клуб по кинопоказу им. А.М.Горького), школа искусств, музыкальная школа и  выставочный зал. 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В учреждениях осуществляют свою деятельность 58 клубных формирований, в которых принимают участие 1322 человека. 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В 2021 году клубом по кинопоказу было проведено 192 киносеанса, количество зрителей составило 3060 человек.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За 2021 год в выставочном зале было проведено 15 выставок, в которых приняло участие 1155 человек, посетителей — 3781 человек.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В библиотеках зарегистрировано 20434 читателей. За 2021 год библиотеками района проведено 1687 мероприятий.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В 2021 году учреждениями культуры были приобретены музыкальное оборудование, костюмы для коллективов художественной самодеятельности, кресла для зрителей и театральный занавес.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Продолжается </w:t>
      </w:r>
      <w:r>
        <w:rPr>
          <w:rFonts w:eastAsia="Tahoma" w:cs="Times New Roman" w:ascii="PT Astra Serif" w:hAnsi="PT Astra Serif"/>
          <w:b w:val="false"/>
          <w:bCs w:val="false"/>
          <w:color w:val="000000" w:themeColor="text1"/>
          <w:kern w:val="2"/>
          <w:sz w:val="26"/>
          <w:szCs w:val="26"/>
          <w:lang w:val="ru-RU" w:eastAsia="zh-CN" w:bidi="hi-IN"/>
        </w:rPr>
        <w:t>работа по разработке</w:t>
      </w: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 проектной документации по строительству «Центра культурного развития на территории Розинского городского поселения».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 xml:space="preserve">Коркинский муниципальный район гордится своими коллективами художественной самодеятельности, узнаваемыми и полюбившимися во многих городах России и зарубежья. 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8 коллективов имеют звания «Народный», «Образцовый» и «Заслуженный»:</w:t>
      </w:r>
    </w:p>
    <w:p>
      <w:pPr>
        <w:pStyle w:val="Standard"/>
        <w:tabs>
          <w:tab w:val="clear" w:pos="708"/>
          <w:tab w:val="left" w:pos="738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ab/>
        <w:t>- Заслуженный коллектив народного творчества Челябинской области – театр танца «Аллегро»;</w:t>
      </w:r>
    </w:p>
    <w:p>
      <w:pPr>
        <w:pStyle w:val="Standard"/>
        <w:tabs>
          <w:tab w:val="clear" w:pos="708"/>
          <w:tab w:val="left" w:pos="738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ab/>
        <w:t>- Заслуженный коллектив народного творчества Челябинской области – молодёжный театр «Проспект Горняков» им. Е. Разудалова;</w:t>
      </w:r>
    </w:p>
    <w:p>
      <w:pPr>
        <w:pStyle w:val="Standard"/>
        <w:tabs>
          <w:tab w:val="clear" w:pos="708"/>
          <w:tab w:val="left" w:pos="738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ab/>
        <w:t>- Народный коллектив – вокальный ансамбль «Горница»;</w:t>
      </w:r>
    </w:p>
    <w:p>
      <w:pPr>
        <w:pStyle w:val="Standard"/>
        <w:tabs>
          <w:tab w:val="clear" w:pos="708"/>
          <w:tab w:val="left" w:pos="738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ab/>
        <w:t>- Народный коллектив – хор русской песни «Сударушка»;</w:t>
      </w:r>
    </w:p>
    <w:p>
      <w:pPr>
        <w:pStyle w:val="Standard"/>
        <w:tabs>
          <w:tab w:val="clear" w:pos="708"/>
          <w:tab w:val="left" w:pos="738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ab/>
        <w:t>- Народный коллектив – ансамбль немецкой музыки «Эдельвейс»;</w:t>
      </w:r>
    </w:p>
    <w:p>
      <w:pPr>
        <w:pStyle w:val="Standard"/>
        <w:tabs>
          <w:tab w:val="clear" w:pos="708"/>
          <w:tab w:val="left" w:pos="738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ab/>
        <w:t>- Народный коллектив – вокальный ансамбль «Коктейль»;</w:t>
      </w:r>
    </w:p>
    <w:p>
      <w:pPr>
        <w:pStyle w:val="Standard"/>
        <w:tabs>
          <w:tab w:val="clear" w:pos="708"/>
          <w:tab w:val="left" w:pos="738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ab/>
        <w:t>- Народный коллектив – хор «Ветеран»;</w:t>
      </w:r>
    </w:p>
    <w:p>
      <w:pPr>
        <w:pStyle w:val="Standard"/>
        <w:tabs>
          <w:tab w:val="clear" w:pos="708"/>
          <w:tab w:val="left" w:pos="738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ab/>
        <w:t>- Народный коллектив – вокальный ансамбль «Лейся песня».</w:t>
      </w:r>
    </w:p>
    <w:p>
      <w:pPr>
        <w:pStyle w:val="Standard"/>
        <w:tabs>
          <w:tab w:val="clear" w:pos="708"/>
          <w:tab w:val="left" w:pos="963" w:leader="none"/>
        </w:tabs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Учреждения культуры ведут активную работу по укреплению имиджа Коркинского муниципального района: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В 2021 году впервые на территории района проводился районный конкурс-выставка для людей «серебряного» возраста «Созвездие добра». Выставка проводилась для стимулирования творческой деятельности, выявления, сопровождения и поддержки талантливых участников конкурса в области декоративно-прикладного творчества.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В Коркинском муниципальном районе состоялся I Областной фестиваль-конкурс традиционной одежды «В гостях у народного костюма». В мероприятии приняли участие творческие коллективы из Коркино, Копейска, Челябинска, Сосновского и Троицкого районов, которые представили традиционную одежду народов, населяющих нашу страну.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В Коркинском муниципальном районе прошел зональный этап XVII Областного ретро-фестиваля «Песни юности нашей», где коркинские коллективы достойно выступили и завоевали главную награду фестиваля.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Коллективы художественной самодеятельности Коркинского муниципального района представляют и прославляют район на фестивалях и конкурсах различного уровня.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 w:themeColor="text1"/>
          <w:sz w:val="26"/>
          <w:szCs w:val="26"/>
        </w:rPr>
        <w:t>Учреждения культуры работают над созданием благоприятных условий для устойчивого развития сферы культуры; реализацией творческого потенциала населения; развитием культурно-досуговой деятельности; совершенствованием  системы дополнительного образования.</w:t>
      </w:r>
    </w:p>
    <w:p>
      <w:pPr>
        <w:pStyle w:val="Standard"/>
        <w:spacing w:lineRule="auto" w:line="240"/>
        <w:ind w:firstLine="709"/>
        <w:jc w:val="both"/>
        <w:rPr>
          <w:b w:val="false"/>
          <w:b w:val="false"/>
          <w:bCs w:val="false"/>
          <w:color w:themeColor="text1"/>
        </w:rPr>
      </w:pPr>
      <w:r>
        <w:rPr>
          <w:b w:val="false"/>
          <w:bCs w:val="false"/>
          <w:color w:themeColor="text1"/>
        </w:rPr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iCs/>
          <w:sz w:val="26"/>
          <w:szCs w:val="26"/>
        </w:rPr>
        <w:t xml:space="preserve">Физическая культура и спорт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являются одним из самых массовых увлечений коркинцев.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Более 40% жителей района принимают участие в спортивных мероприятиях.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На территории Коркинского района расположено 169 спортивных сооружений, в том числе: </w:t>
      </w:r>
      <w:r>
        <w:rPr>
          <w:rFonts w:eastAsia="Times New Roman" w:cs="Times New Roman" w:ascii="PT Astra Serif" w:hAnsi="PT Astra Serif"/>
          <w:b w:val="false"/>
          <w:bCs w:val="false"/>
          <w:kern w:val="0"/>
          <w:sz w:val="26"/>
          <w:szCs w:val="26"/>
        </w:rPr>
        <w:t>80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плоскостных спортивных сооружений, 26 спортивных зала, плавательный бассейн, лыжная база и другие спортивные сооружения, а также тир, универсальные дворовые спортивные и игровые площадки, сезонные ледовые катки.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Единовременная пропускная способность всех сооружений, включая объекты городской инфраструктуры -3735 человек. Обеспеченность населения спортивными сооружениями, исходя из единовременной пропускной способности, составляет 55,9%. Эффективность использования объектов спортивной инфраструктуры – 80,3%.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Самыми популярными спортивными учреждениями являются: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- МБУ «Спортивная школа» г. Коркино - численность занимающихся спортом - 827 человек. Виды спорта: баскетбол, бокс, дзюдо, легкая атлетика, лыжные гонки, пауэрлифтинг, плавание, спортивная борьба, скалолазание, футбол. Воспитанники спортивной школы — призеры и чемпионы Челябинской области, УРФО, России.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- МБУ «Спортивная школа по хоккею» Коркинского муниципального района – численность занимающихся спортом - 198 человека. Ежегодно ледовая арена принимает более 90 000 посетителей, проводится более 50 турниров с участием детских и мужских команд Челябинской области, УРФО и России.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На территории Коркинского муниципального района функционирует физкультурно-оздоровительный комплекс АО «РМК». Общая площадь закрытой арены 2500 м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vertAlign w:val="superscript"/>
        </w:rPr>
        <w:t>2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. Здесь размещены залы дзюдо, бокса, фитнеса, баскетбольная площадка, тренажерный зал, административный блок. На базе ФОКа 600 взрослых и детей занимаются такими видами спорта как: дзюдо, греко-римская борьба, бокс, аэробика и скандинавская ходьба. На открытой площадке 6 000 м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vertAlign w:val="superscript"/>
        </w:rPr>
        <w:t xml:space="preserve">2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расположены беговая дорожка с тартановым покрытием, детская игровая и workout площадки, зрительские трибуны принимают до 250 человек. </w:t>
      </w:r>
    </w:p>
    <w:p>
      <w:pPr>
        <w:pStyle w:val="ListParagraph"/>
        <w:spacing w:lineRule="auto" w:line="240"/>
        <w:ind w:left="0" w:firstLine="708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 xml:space="preserve">В 2021 году АО «Русская медная компания» провела реконструкцию лыжной базы «Березка» с благоустройством прилегающей территории,  с установкой детских спортивных площадок, полосы препятствий, уличных тренажеров и строительством лыжероллерной трассы для подготовки лыжников в бесснежный период  года. Общая площадь нового здания лыжной базы составила 530 кв.м. </w:t>
      </w: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  <w:shd w:fill="auto" w:val="clear"/>
        </w:rPr>
        <w:t>База оснащена новым инвентарем и оборудованием, открыта для тренировочного процесса и посещений. Л</w:t>
      </w: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ыжная база – одно из любимых мест отдыха, в среднем около 6 000 человек посещают базу за сезон.</w:t>
      </w:r>
    </w:p>
    <w:p>
      <w:pPr>
        <w:pStyle w:val="ListParagraph"/>
        <w:spacing w:lineRule="auto" w:line="240"/>
        <w:ind w:left="0" w:firstLine="708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>В Розинском городском поселении функционирует спортивно-досуговый комплекс, где развивают лыжные гонки, легкую атлетику, футбол, скандинавскую ходьбу, хоккей. Количество занимающихся более 250 человек.</w:t>
      </w:r>
    </w:p>
    <w:p>
      <w:pPr>
        <w:pStyle w:val="Normal"/>
        <w:spacing w:lineRule="auto" w:line="240"/>
        <w:ind w:firstLine="709"/>
        <w:jc w:val="lef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iCs/>
          <w:sz w:val="26"/>
          <w:szCs w:val="26"/>
        </w:rPr>
        <w:t>Конкурентные преимущества</w:t>
      </w:r>
    </w:p>
    <w:p>
      <w:pPr>
        <w:pStyle w:val="Normal"/>
        <w:spacing w:lineRule="auto" w:line="240"/>
        <w:ind w:firstLine="709"/>
        <w:jc w:val="both"/>
        <w:rPr>
          <w:rFonts w:ascii="PT Astra Serif" w:hAnsi="PT Astra Serif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 xml:space="preserve">Коркинский муниципальный район находится в 35 км к югу от областного центра - города Челябинска;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 xml:space="preserve">граничит с территорией Копейска, Еткульского и Сосновского районов;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 xml:space="preserve">расположен рядом с федеральной трассой М-36;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>расположен вблизи Южно-Уральской железной дороги;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 xml:space="preserve">высокая обеспеченность электроэнергией, природным газом;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 xml:space="preserve">благоприятный континентальный климат с тёплым летом и умеренно холодной зимой;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 xml:space="preserve">природно-ресурсный потенциал;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>кадровые ресурсы с широким спектром компетенции;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Cs/>
          <w:sz w:val="26"/>
          <w:szCs w:val="26"/>
        </w:rPr>
        <w:t>развитый банковский и страховой секторы экономики;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наличие трех средне-специальных учебных заведений;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75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наличие объектов социальной инфраструктуры.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PT Astra Serif" w:hAnsi="PT Astra Serif" w:cs="Times New Roman"/>
          <w:b w:val="false"/>
          <w:b w:val="false"/>
          <w:bCs w:val="false"/>
          <w:i/>
          <w:i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i/>
          <w:sz w:val="26"/>
          <w:szCs w:val="26"/>
        </w:rPr>
        <w:t>Контактная информация органа местного самоуправления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Глава Коркинского муниципального района – Лощинина Наталья Александровна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456550 ул. 30 лет ВЛКСМ,2, город Коркино, Челябинской области 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телефон (8-351-52) 4-53-53, (8-351-52) 4-49-45</w:t>
      </w:r>
    </w:p>
    <w:p>
      <w:pPr>
        <w:pStyle w:val="Normal"/>
        <w:spacing w:lineRule="auto" w:line="24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эл. адрес: 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en-US"/>
        </w:rPr>
        <w:t>mail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@ 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en-US"/>
        </w:rPr>
        <w:t>korkino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.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en-US"/>
        </w:rPr>
        <w:t>uu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.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en-US"/>
        </w:rPr>
        <w:t>ru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701" w:right="567" w:header="709" w:top="8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Noto Sans Devanagar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PT Astra Serif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firstLine="7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67f5d"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Liberation Sans"/>
      <w:color w:val="auto"/>
      <w:kern w:val="2"/>
      <w:sz w:val="36"/>
      <w:szCs w:val="24"/>
      <w:lang w:val="ru-RU" w:eastAsia="ru-RU" w:bidi="ar-SA"/>
    </w:rPr>
  </w:style>
  <w:style w:type="paragraph" w:styleId="1" w:customStyle="1">
    <w:name w:val="Heading 1"/>
    <w:basedOn w:val="Normal"/>
    <w:qFormat/>
    <w:rsid w:val="009c5c85"/>
    <w:pPr>
      <w:keepNext w:val="true"/>
      <w:pageBreakBefore/>
      <w:spacing w:lineRule="auto" w:line="360"/>
      <w:ind w:firstLine="709"/>
      <w:outlineLvl w:val="0"/>
    </w:pPr>
    <w:rPr>
      <w:rFonts w:ascii="Times New Roman" w:hAnsi="Times New Roman" w:cs="Times New Roman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c5c85"/>
    <w:rPr/>
  </w:style>
  <w:style w:type="character" w:styleId="FontStyle11" w:customStyle="1">
    <w:name w:val="Font Style11"/>
    <w:basedOn w:val="DefaultParagraphFont"/>
    <w:qFormat/>
    <w:rsid w:val="00780f8e"/>
    <w:rPr>
      <w:rFonts w:ascii="Arial" w:hAnsi="Arial" w:cs="Arial"/>
      <w:sz w:val="22"/>
      <w:szCs w:val="22"/>
    </w:rPr>
  </w:style>
  <w:style w:type="character" w:styleId="Appleconvertedspace" w:customStyle="1">
    <w:name w:val="apple-converted-space"/>
    <w:basedOn w:val="DefaultParagraphFont"/>
    <w:qFormat/>
    <w:rsid w:val="00b8031c"/>
    <w:rPr/>
  </w:style>
  <w:style w:type="character" w:styleId="Style13">
    <w:name w:val="Выделение"/>
    <w:basedOn w:val="DefaultParagraphFont"/>
    <w:uiPriority w:val="20"/>
    <w:qFormat/>
    <w:rsid w:val="00034a08"/>
    <w:rPr>
      <w:i/>
      <w:iCs/>
    </w:rPr>
  </w:style>
  <w:style w:type="character" w:styleId="Style14" w:customStyle="1">
    <w:name w:val="Основной текст Знак"/>
    <w:basedOn w:val="DefaultParagraphFont"/>
    <w:uiPriority w:val="99"/>
    <w:qFormat/>
    <w:locked/>
    <w:rsid w:val="00bc2b88"/>
    <w:rPr>
      <w:rFonts w:ascii="Arial" w:hAnsi="Arial" w:cs="Arial"/>
      <w:sz w:val="22"/>
      <w:szCs w:val="22"/>
    </w:rPr>
  </w:style>
  <w:style w:type="character" w:styleId="Ff2" w:customStyle="1">
    <w:name w:val="ff2"/>
    <w:basedOn w:val="DefaultParagraphFont"/>
    <w:qFormat/>
    <w:rsid w:val="00106e8b"/>
    <w:rPr/>
  </w:style>
  <w:style w:type="character" w:styleId="Ff3" w:customStyle="1">
    <w:name w:val="ff3"/>
    <w:basedOn w:val="DefaultParagraphFont"/>
    <w:qFormat/>
    <w:rsid w:val="00106e8b"/>
    <w:rPr/>
  </w:style>
  <w:style w:type="character" w:styleId="Style15" w:customStyle="1">
    <w:name w:val="Основной текст_"/>
    <w:basedOn w:val="DefaultParagraphFont"/>
    <w:qFormat/>
    <w:rsid w:val="001c259b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unhideWhenUsed/>
    <w:rsid w:val="004a4d54"/>
    <w:rPr>
      <w:color w:val="0000FF"/>
      <w:u w:val="single"/>
    </w:rPr>
  </w:style>
  <w:style w:type="character" w:styleId="FontStyle38" w:customStyle="1">
    <w:name w:val="Font Style38"/>
    <w:basedOn w:val="DefaultParagraphFont"/>
    <w:uiPriority w:val="99"/>
    <w:qFormat/>
    <w:rsid w:val="00ba0e8e"/>
    <w:rPr>
      <w:rFonts w:ascii="Times New Roman" w:hAnsi="Times New Roman" w:cs="Times New Roman"/>
      <w:sz w:val="26"/>
      <w:szCs w:val="26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84048e"/>
    <w:rPr>
      <w:color w:val="00000A"/>
      <w:sz w:val="28"/>
      <w:szCs w:val="24"/>
    </w:rPr>
  </w:style>
  <w:style w:type="character" w:styleId="Style17" w:customStyle="1">
    <w:name w:val="Верхний колонтитул Знак"/>
    <w:basedOn w:val="DefaultParagraphFont"/>
    <w:link w:val="af6"/>
    <w:qFormat/>
    <w:rsid w:val="00d8078b"/>
    <w:rPr>
      <w:rFonts w:ascii="Noto Sans Devanagari" w:hAnsi="Noto Sans Devanagari" w:eastAsia="Tahoma" w:cs="Liberation Sans"/>
      <w:kern w:val="2"/>
      <w:sz w:val="36"/>
      <w:szCs w:val="24"/>
    </w:rPr>
  </w:style>
  <w:style w:type="character" w:styleId="Style18" w:customStyle="1">
    <w:name w:val="Нижний колонтитул Знак"/>
    <w:basedOn w:val="DefaultParagraphFont"/>
    <w:link w:val="af8"/>
    <w:qFormat/>
    <w:rsid w:val="00d8078b"/>
    <w:rPr>
      <w:rFonts w:ascii="Noto Sans Devanagari" w:hAnsi="Noto Sans Devanagari" w:eastAsia="Tahoma" w:cs="Liberation Sans"/>
      <w:kern w:val="2"/>
      <w:sz w:val="36"/>
      <w:szCs w:val="24"/>
    </w:rPr>
  </w:style>
  <w:style w:type="character" w:styleId="Strong">
    <w:name w:val="Strong"/>
    <w:basedOn w:val="DefaultParagraphFont"/>
    <w:uiPriority w:val="22"/>
    <w:qFormat/>
    <w:rsid w:val="00533b12"/>
    <w:rPr>
      <w:b/>
      <w:bCs/>
    </w:rPr>
  </w:style>
  <w:style w:type="paragraph" w:styleId="Style19" w:customStyle="1">
    <w:name w:val="Заголовок"/>
    <w:basedOn w:val="Normal"/>
    <w:next w:val="Style20"/>
    <w:qFormat/>
    <w:rsid w:val="009808af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0">
    <w:name w:val="Body Text"/>
    <w:basedOn w:val="Normal"/>
    <w:uiPriority w:val="99"/>
    <w:rsid w:val="00f0246c"/>
    <w:pPr>
      <w:spacing w:before="0" w:after="120"/>
    </w:pPr>
    <w:rPr/>
  </w:style>
  <w:style w:type="paragraph" w:styleId="Style21">
    <w:name w:val="List"/>
    <w:basedOn w:val="Style20"/>
    <w:rsid w:val="009808af"/>
    <w:pPr/>
    <w:rPr>
      <w:rFonts w:cs="Mangal"/>
    </w:rPr>
  </w:style>
  <w:style w:type="paragraph" w:styleId="Style22" w:customStyle="1">
    <w:name w:val="Caption"/>
    <w:basedOn w:val="Normal"/>
    <w:qFormat/>
    <w:rsid w:val="009808af"/>
    <w:pPr>
      <w:suppressLineNumbers/>
      <w:spacing w:before="120" w:after="120"/>
    </w:pPr>
    <w:rPr>
      <w:rFonts w:cs="Mangal"/>
      <w:i/>
      <w:iCs/>
      <w:sz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9808af"/>
    <w:pPr>
      <w:suppressLineNumbers/>
    </w:pPr>
    <w:rPr>
      <w:rFonts w:cs="Mangal"/>
    </w:rPr>
  </w:style>
  <w:style w:type="paragraph" w:styleId="Style24" w:customStyle="1">
    <w:name w:val="Основной шрифт абзаца Знак"/>
    <w:basedOn w:val="Normal"/>
    <w:qFormat/>
    <w:rsid w:val="009c5c85"/>
    <w:pPr>
      <w:spacing w:lineRule="exact" w:line="240" w:before="0" w:after="16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qFormat/>
    <w:rsid w:val="009c5c85"/>
    <w:pPr>
      <w:spacing w:lineRule="auto" w:line="360" w:before="120" w:after="0"/>
      <w:ind w:firstLine="567"/>
    </w:pPr>
    <w:rPr>
      <w:rFonts w:ascii="Times New Roman" w:hAnsi="Times New Roman" w:cs="Times New Roman"/>
      <w:sz w:val="28"/>
    </w:rPr>
  </w:style>
  <w:style w:type="paragraph" w:styleId="Style25" w:customStyle="1">
    <w:name w:val="Верхний и нижний колонтитулы"/>
    <w:basedOn w:val="Normal"/>
    <w:qFormat/>
    <w:rsid w:val="00a67f5d"/>
    <w:pPr/>
    <w:rPr/>
  </w:style>
  <w:style w:type="paragraph" w:styleId="Style26">
    <w:name w:val="Header"/>
    <w:basedOn w:val="Normal"/>
    <w:link w:val="af7"/>
    <w:rsid w:val="00d8078b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semiHidden/>
    <w:qFormat/>
    <w:rsid w:val="00ad5f38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f9"/>
    <w:rsid w:val="00d8078b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8">
    <w:name w:val="Body Text Indent"/>
    <w:basedOn w:val="Normal"/>
    <w:rsid w:val="00f0246c"/>
    <w:pPr>
      <w:spacing w:before="0" w:after="120"/>
      <w:ind w:left="283" w:firstLine="720"/>
    </w:pPr>
    <w:rPr/>
  </w:style>
  <w:style w:type="paragraph" w:styleId="Style29" w:customStyle="1">
    <w:name w:val="А.Текст"/>
    <w:basedOn w:val="Style30"/>
    <w:qFormat/>
    <w:rsid w:val="0079350b"/>
    <w:pPr>
      <w:spacing w:lineRule="auto" w:line="360" w:before="0" w:after="0"/>
      <w:ind w:firstLine="567"/>
      <w:jc w:val="both"/>
    </w:pPr>
    <w:rPr>
      <w:rFonts w:ascii="Times New Roman" w:hAnsi="Times New Roman" w:cs="Times New Roman"/>
      <w:b w:val="false"/>
      <w:bCs w:val="false"/>
      <w:kern w:val="0"/>
      <w:sz w:val="28"/>
      <w:szCs w:val="28"/>
    </w:rPr>
  </w:style>
  <w:style w:type="paragraph" w:styleId="Style30">
    <w:name w:val="Title"/>
    <w:basedOn w:val="Normal"/>
    <w:qFormat/>
    <w:rsid w:val="0079350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Style31" w:customStyle="1">
    <w:name w:val="Знак"/>
    <w:basedOn w:val="Normal"/>
    <w:qFormat/>
    <w:rsid w:val="008e45e0"/>
    <w:pPr>
      <w:spacing w:lineRule="exact" w:line="240" w:before="0" w:after="16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f687c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NormalWeb">
    <w:name w:val="Normal (Web)"/>
    <w:basedOn w:val="Normal"/>
    <w:uiPriority w:val="99"/>
    <w:unhideWhenUsed/>
    <w:qFormat/>
    <w:rsid w:val="00ce6f6d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Default" w:customStyle="1">
    <w:name w:val="Default"/>
    <w:qFormat/>
    <w:rsid w:val="00e56e1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21" w:customStyle="1">
    <w:name w:val="Основной текст2"/>
    <w:basedOn w:val="Normal"/>
    <w:qFormat/>
    <w:rsid w:val="001c259b"/>
    <w:pPr>
      <w:shd w:val="clear" w:color="auto" w:fill="FFFFFF"/>
      <w:spacing w:lineRule="exact" w:line="302"/>
    </w:pPr>
    <w:rPr>
      <w:rFonts w:ascii="Times New Roman" w:hAnsi="Times New Roman" w:cs="Times New Roman"/>
      <w:sz w:val="27"/>
      <w:szCs w:val="27"/>
    </w:rPr>
  </w:style>
  <w:style w:type="paragraph" w:styleId="3" w:customStyle="1">
    <w:name w:val="Основной текст3"/>
    <w:basedOn w:val="Normal"/>
    <w:qFormat/>
    <w:rsid w:val="001c259b"/>
    <w:pPr>
      <w:shd w:val="clear" w:color="auto" w:fill="FFFFFF"/>
      <w:spacing w:lineRule="exact" w:line="274" w:before="120" w:after="0"/>
      <w:ind w:hanging="440"/>
    </w:pPr>
    <w:rPr>
      <w:rFonts w:ascii="Times New Roman" w:hAnsi="Times New Roman" w:cs="Times New Roman"/>
      <w:sz w:val="23"/>
      <w:szCs w:val="23"/>
      <w:lang w:eastAsia="en-US"/>
    </w:rPr>
  </w:style>
  <w:style w:type="paragraph" w:styleId="Style131" w:customStyle="1">
    <w:name w:val="Style13"/>
    <w:basedOn w:val="Normal"/>
    <w:uiPriority w:val="99"/>
    <w:qFormat/>
    <w:rsid w:val="00ba0e8e"/>
    <w:pPr>
      <w:spacing w:lineRule="exact" w:line="323"/>
      <w:ind w:firstLine="706"/>
    </w:pPr>
    <w:rPr>
      <w:rFonts w:ascii="Times New Roman" w:hAnsi="Times New Roman" w:eastAsia="" w:cs="Times New Roman" w:eastAsiaTheme="minorEastAsia"/>
      <w:sz w:val="24"/>
    </w:rPr>
  </w:style>
  <w:style w:type="paragraph" w:styleId="NoSpacing">
    <w:name w:val="No Spacing"/>
    <w:uiPriority w:val="1"/>
    <w:qFormat/>
    <w:rsid w:val="00ba0e8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rsid w:val="00a67f5d"/>
    <w:pPr>
      <w:widowControl/>
      <w:suppressAutoHyphens w:val="true"/>
      <w:bidi w:val="0"/>
      <w:spacing w:before="0" w:after="0"/>
      <w:jc w:val="left"/>
      <w:textAlignment w:val="baseline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Ltable" w:customStyle="1">
    <w:name w:val="l_table"/>
    <w:basedOn w:val="Normal"/>
    <w:qFormat/>
    <w:rsid w:val="00a67f5d"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9c5c85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iki-org.ru/wiki/&#1050;&#1086;&#1087;&#1077;&#1081;&#1089;&#1082;&#1080;&#1081;_&#1075;&#1086;&#1088;&#1086;&#1076;&#1089;&#1082;&#1086;&#1081;_&#1086;&#1082;&#1088;&#1091;&#1075;" TargetMode="External"/><Relationship Id="rId3" Type="http://schemas.openxmlformats.org/officeDocument/2006/relationships/hyperlink" Target="http://wiki-org.ru/wiki/&#1045;&#1090;&#1082;&#1091;&#1083;&#1100;&#1089;&#1082;&#1080;&#1081;_&#1088;&#1072;&#1081;&#1086;&#1085;" TargetMode="External"/><Relationship Id="rId4" Type="http://schemas.openxmlformats.org/officeDocument/2006/relationships/hyperlink" Target="http://wiki-org.ru/wiki/&#1057;&#1086;&#1089;&#1085;&#1086;&#1074;&#1089;&#1082;&#1080;&#1081;_&#1088;&#1072;&#1081;&#1086;&#1085;_(&#1063;&#1077;&#1083;&#1103;&#1073;&#1080;&#1085;&#1089;&#1082;&#1072;&#1103;_&#1086;&#1073;&#1083;&#1072;&#1089;&#1090;&#1100;)" TargetMode="External"/><Relationship Id="rId5" Type="http://schemas.openxmlformats.org/officeDocument/2006/relationships/hyperlink" Target="http://wiki-org.ru/wiki/&#1063;&#1077;&#1083;&#1103;&#1073;&#1080;&#1085;&#1089;&#1082;" TargetMode="External"/><Relationship Id="rId6" Type="http://schemas.openxmlformats.org/officeDocument/2006/relationships/hyperlink" Target="http://wiki-org.ru/wiki/&#1052;&#1072;&#1075;&#1085;&#1080;&#1090;&#1086;&#1075;&#1086;&#1088;&#1089;&#1082;" TargetMode="External"/><Relationship Id="rId7" Type="http://schemas.openxmlformats.org/officeDocument/2006/relationships/hyperlink" Target="http://wiki-org.ru/wiki/&#1063;&#1077;&#1083;&#1103;&#1073;&#1080;&#1085;&#1089;&#1082;" TargetMode="External"/><Relationship Id="rId8" Type="http://schemas.openxmlformats.org/officeDocument/2006/relationships/hyperlink" Target="http://wiki-org.ru/wiki/&#1058;&#1088;&#1086;&#1080;&#1094;&#1082;_(&#1063;&#1077;&#1083;&#1103;&#1073;&#1080;&#1085;&#1089;&#1082;&#1072;&#1103;_&#1086;&#1073;&#1083;&#1072;&#1089;&#1090;&#1100;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3D11-8592-44E2-9814-7D0D34E6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Application>LibreOffice/6.4.6.2$Linux_X86_64 LibreOffice_project/40$Build-2</Application>
  <Pages>11</Pages>
  <Words>3071</Words>
  <Characters>22889</Characters>
  <CharactersWithSpaces>25785</CharactersWithSpaces>
  <Paragraphs>276</Paragraphs>
  <Company>Администрация Коркинского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2019-01-10T05:16:00Z</dcterms:created>
  <dc:creator>Китаева Т.Н.</dc:creator>
  <dc:description/>
  <dc:language>ru-RU</dc:language>
  <cp:lastModifiedBy/>
  <cp:lastPrinted>2022-02-09T10:08:00Z</cp:lastPrinted>
  <dcterms:modified xsi:type="dcterms:W3CDTF">2022-02-28T10:35:07Z</dcterms:modified>
  <cp:revision>117</cp:revision>
  <dc:subject/>
  <dc:title>Инвестиционный паспорт Коркинского муниципального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Коркинского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